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BF0BE" w14:textId="762122EA" w:rsidR="00596F13" w:rsidRPr="00DE40CC" w:rsidRDefault="00BC34A3">
      <w:pPr>
        <w:rPr>
          <w:color w:val="172242" w:themeColor="accent1"/>
        </w:rPr>
      </w:pPr>
      <w:r>
        <w:rPr>
          <w:color w:val="172242" w:themeColor="accent1"/>
        </w:rPr>
        <w:t>Treasury Committee</w:t>
      </w:r>
    </w:p>
    <w:p w14:paraId="319CAA0D" w14:textId="5F6ECAF8" w:rsidR="008D4406" w:rsidRPr="00DE40CC" w:rsidRDefault="008D4406" w:rsidP="006D1C87">
      <w:pPr>
        <w:jc w:val="right"/>
        <w:rPr>
          <w:color w:val="172242" w:themeColor="accent1"/>
        </w:rPr>
      </w:pPr>
      <w:r w:rsidRPr="00DE40CC">
        <w:rPr>
          <w:color w:val="172242" w:themeColor="accent1"/>
        </w:rPr>
        <w:tab/>
      </w:r>
      <w:r w:rsidR="00F706AF">
        <w:rPr>
          <w:color w:val="172242" w:themeColor="accent1"/>
        </w:rPr>
        <w:t>11 April 2025</w:t>
      </w:r>
    </w:p>
    <w:p w14:paraId="1103497B" w14:textId="77777777" w:rsidR="00632803" w:rsidRDefault="00632803">
      <w:pPr>
        <w:rPr>
          <w:color w:val="172242" w:themeColor="accent1"/>
        </w:rPr>
      </w:pPr>
    </w:p>
    <w:p w14:paraId="7C788DEA" w14:textId="0A54820F" w:rsidR="00C0345B" w:rsidRPr="00DE40CC" w:rsidRDefault="00C0345B">
      <w:pPr>
        <w:rPr>
          <w:color w:val="172242" w:themeColor="accent1"/>
        </w:rPr>
      </w:pPr>
      <w:r w:rsidRPr="00DE40CC">
        <w:rPr>
          <w:color w:val="172242" w:themeColor="accent1"/>
        </w:rPr>
        <w:t xml:space="preserve">Dear </w:t>
      </w:r>
      <w:r w:rsidR="00936AAC">
        <w:rPr>
          <w:color w:val="172242" w:themeColor="accent1"/>
        </w:rPr>
        <w:t>Chair,</w:t>
      </w:r>
    </w:p>
    <w:p w14:paraId="48191073" w14:textId="602A11C0" w:rsidR="00C0345B" w:rsidRPr="00DE40CC" w:rsidRDefault="00C0345B">
      <w:pPr>
        <w:rPr>
          <w:b/>
          <w:bCs/>
          <w:color w:val="172242" w:themeColor="accent1"/>
        </w:rPr>
      </w:pPr>
      <w:r w:rsidRPr="00DE40CC">
        <w:rPr>
          <w:b/>
          <w:color w:val="172242" w:themeColor="accent1"/>
        </w:rPr>
        <w:t>Re:</w:t>
      </w:r>
      <w:r w:rsidRPr="00DE40CC">
        <w:rPr>
          <w:color w:val="172242" w:themeColor="accent1"/>
        </w:rPr>
        <w:t xml:space="preserve"> </w:t>
      </w:r>
      <w:r w:rsidR="00ED0BC1">
        <w:rPr>
          <w:b/>
          <w:bCs/>
          <w:color w:val="172242" w:themeColor="accent1"/>
        </w:rPr>
        <w:t xml:space="preserve">AI in financial services </w:t>
      </w:r>
      <w:r w:rsidR="003D0C80">
        <w:rPr>
          <w:b/>
          <w:bCs/>
          <w:color w:val="172242" w:themeColor="accent1"/>
        </w:rPr>
        <w:t>call for evidence</w:t>
      </w:r>
    </w:p>
    <w:p w14:paraId="667622C2" w14:textId="77777777" w:rsidR="003D0C80" w:rsidRDefault="003D0C80" w:rsidP="00817F92">
      <w:pPr>
        <w:jc w:val="both"/>
        <w:rPr>
          <w:color w:val="172242" w:themeColor="accent1"/>
        </w:rPr>
      </w:pPr>
    </w:p>
    <w:p w14:paraId="263A964A" w14:textId="18C8AFBB" w:rsidR="00946C58" w:rsidRDefault="00946C58" w:rsidP="00CD643E">
      <w:pPr>
        <w:jc w:val="both"/>
        <w:rPr>
          <w:color w:val="172242" w:themeColor="accent1"/>
        </w:rPr>
      </w:pPr>
      <w:r>
        <w:rPr>
          <w:color w:val="172242" w:themeColor="accent1"/>
        </w:rPr>
        <w:t>The</w:t>
      </w:r>
      <w:r w:rsidRPr="008F2DB4">
        <w:rPr>
          <w:color w:val="172242" w:themeColor="accent1"/>
        </w:rPr>
        <w:t xml:space="preserve"> Investment Association (IA)</w:t>
      </w:r>
      <w:r>
        <w:rPr>
          <w:color w:val="172242" w:themeColor="accent1"/>
        </w:rPr>
        <w:t xml:space="preserve"> welcomes the opportunity to </w:t>
      </w:r>
      <w:r w:rsidR="005C6647">
        <w:rPr>
          <w:color w:val="172242" w:themeColor="accent1"/>
        </w:rPr>
        <w:t xml:space="preserve">contribute to the Committee’s inquiry into </w:t>
      </w:r>
      <w:r w:rsidR="008452E0">
        <w:rPr>
          <w:color w:val="172242" w:themeColor="accent1"/>
        </w:rPr>
        <w:t xml:space="preserve">the </w:t>
      </w:r>
      <w:r w:rsidR="002C313C">
        <w:rPr>
          <w:color w:val="172242" w:themeColor="accent1"/>
        </w:rPr>
        <w:t xml:space="preserve">opportunities and </w:t>
      </w:r>
      <w:r w:rsidR="008452E0">
        <w:rPr>
          <w:color w:val="172242" w:themeColor="accent1"/>
        </w:rPr>
        <w:t xml:space="preserve">potential </w:t>
      </w:r>
      <w:r w:rsidR="002C313C">
        <w:rPr>
          <w:color w:val="172242" w:themeColor="accent1"/>
        </w:rPr>
        <w:t>risks</w:t>
      </w:r>
      <w:r w:rsidR="008452E0">
        <w:rPr>
          <w:color w:val="172242" w:themeColor="accent1"/>
        </w:rPr>
        <w:t xml:space="preserve"> of</w:t>
      </w:r>
      <w:r w:rsidR="00CD643E">
        <w:rPr>
          <w:color w:val="172242" w:themeColor="accent1"/>
        </w:rPr>
        <w:t xml:space="preserve"> Artificial Intelligence (AI) in financial services.</w:t>
      </w:r>
    </w:p>
    <w:p w14:paraId="3B6FB500" w14:textId="3AE9AAF6" w:rsidR="003D0C80" w:rsidRDefault="008A5D08" w:rsidP="00F0455E">
      <w:pPr>
        <w:pStyle w:val="BodyText"/>
        <w:rPr>
          <w:color w:val="172242" w:themeColor="accent1"/>
        </w:rPr>
      </w:pPr>
      <w:r w:rsidRPr="008F2DB4">
        <w:rPr>
          <w:color w:val="172242" w:themeColor="accent1"/>
        </w:rPr>
        <w:t xml:space="preserve">The </w:t>
      </w:r>
      <w:r w:rsidR="00CD643E">
        <w:rPr>
          <w:color w:val="172242" w:themeColor="accent1"/>
        </w:rPr>
        <w:t>IA</w:t>
      </w:r>
      <w:r w:rsidRPr="008F2DB4">
        <w:rPr>
          <w:color w:val="172242" w:themeColor="accent1"/>
        </w:rPr>
        <w:t xml:space="preserve"> champions UK investment management, a world-leading industry which helps millions of households save for the future while supporting businesses and economic growth in the UK and abroad. Our 250 members range from smaller, specialist UK firms to European and global investment managers with a UK base. Collectively, they manage £9.1 trillion for savers and institutions, such as pension schemes and insurance companies, in the UK and beyond. 49% of this is for overseas clients. The UK asset management industry is the largest in Europe and the second largest globally.</w:t>
      </w:r>
    </w:p>
    <w:p w14:paraId="7CFAEA16" w14:textId="660A6745" w:rsidR="00510671" w:rsidRPr="00510671" w:rsidRDefault="00132F71" w:rsidP="008A4786">
      <w:pPr>
        <w:rPr>
          <w:color w:val="172242" w:themeColor="accent1"/>
        </w:rPr>
      </w:pPr>
      <w:r>
        <w:rPr>
          <w:color w:val="172242" w:themeColor="accent1"/>
        </w:rPr>
        <w:t>The IA</w:t>
      </w:r>
      <w:r w:rsidR="00AD38CA">
        <w:rPr>
          <w:color w:val="172242" w:themeColor="accent1"/>
        </w:rPr>
        <w:t xml:space="preserve">, via the HMT-led Asset Management taskforce </w:t>
      </w:r>
      <w:r>
        <w:rPr>
          <w:color w:val="172242" w:themeColor="accent1"/>
        </w:rPr>
        <w:t xml:space="preserve">recently </w:t>
      </w:r>
      <w:r w:rsidR="00AD38CA">
        <w:rPr>
          <w:color w:val="172242" w:themeColor="accent1"/>
        </w:rPr>
        <w:t xml:space="preserve">produced a report on AI usage within investment management, a product of industry analysis </w:t>
      </w:r>
      <w:r w:rsidR="00F0621C">
        <w:rPr>
          <w:color w:val="172242" w:themeColor="accent1"/>
        </w:rPr>
        <w:t>with IA members,</w:t>
      </w:r>
      <w:r w:rsidR="00826C2D">
        <w:rPr>
          <w:color w:val="172242" w:themeColor="accent1"/>
        </w:rPr>
        <w:t xml:space="preserve"> including</w:t>
      </w:r>
      <w:r w:rsidR="00F0621C">
        <w:rPr>
          <w:color w:val="172242" w:themeColor="accent1"/>
        </w:rPr>
        <w:t xml:space="preserve"> fintech</w:t>
      </w:r>
      <w:r w:rsidR="00826C2D">
        <w:rPr>
          <w:color w:val="172242" w:themeColor="accent1"/>
        </w:rPr>
        <w:t xml:space="preserve"> firms</w:t>
      </w:r>
      <w:r w:rsidR="00F0621C">
        <w:rPr>
          <w:color w:val="172242" w:themeColor="accent1"/>
        </w:rPr>
        <w:t xml:space="preserve">, the Financial Conduct Authority (FCA) and government. </w:t>
      </w:r>
      <w:r w:rsidR="00510671" w:rsidRPr="00510671">
        <w:rPr>
          <w:color w:val="172242" w:themeColor="accent1"/>
        </w:rPr>
        <w:t>The report</w:t>
      </w:r>
      <w:r w:rsidR="00FB2279">
        <w:rPr>
          <w:rStyle w:val="FootnoteReference"/>
          <w:color w:val="172242" w:themeColor="accent1"/>
        </w:rPr>
        <w:footnoteReference w:id="2"/>
      </w:r>
      <w:r w:rsidR="00510671" w:rsidRPr="00510671">
        <w:rPr>
          <w:color w:val="172242" w:themeColor="accent1"/>
        </w:rPr>
        <w:t xml:space="preserve"> outlines the current posture of firms across the industry, including both proven and developmental use cases utilising generative AI. It then goes onto explore the key internal and external issues that will ultimately determine the industry’s success in realising the technology’s true potential.</w:t>
      </w:r>
    </w:p>
    <w:p w14:paraId="517248DC" w14:textId="77777777" w:rsidR="00132F71" w:rsidRDefault="00132F71" w:rsidP="00C802AB">
      <w:pPr>
        <w:rPr>
          <w:color w:val="172242" w:themeColor="accent1"/>
        </w:rPr>
      </w:pPr>
    </w:p>
    <w:p w14:paraId="6012BCDC" w14:textId="40B099C7" w:rsidR="00467B62" w:rsidRDefault="00340F94" w:rsidP="00DC70A6">
      <w:pPr>
        <w:spacing w:after="160" w:line="259" w:lineRule="auto"/>
        <w:rPr>
          <w:color w:val="27B88C" w:themeColor="accent2"/>
          <w:sz w:val="28"/>
          <w:szCs w:val="28"/>
        </w:rPr>
      </w:pPr>
      <w:r>
        <w:rPr>
          <w:color w:val="27B88C" w:themeColor="accent2"/>
          <w:sz w:val="28"/>
          <w:szCs w:val="28"/>
        </w:rPr>
        <w:t>Executive Summary &amp; Recommendations</w:t>
      </w:r>
    </w:p>
    <w:p w14:paraId="22A15584" w14:textId="69AA025C" w:rsidR="00340F94" w:rsidRPr="00280231" w:rsidRDefault="001C76D9" w:rsidP="00280231">
      <w:pPr>
        <w:rPr>
          <w:color w:val="172242" w:themeColor="accent1"/>
        </w:rPr>
      </w:pPr>
      <w:r w:rsidRPr="00280231">
        <w:rPr>
          <w:color w:val="172242" w:themeColor="accent1"/>
        </w:rPr>
        <w:t xml:space="preserve">Given the UK’s </w:t>
      </w:r>
      <w:r w:rsidR="00673840">
        <w:rPr>
          <w:color w:val="172242" w:themeColor="accent1"/>
        </w:rPr>
        <w:t xml:space="preserve">world-leading </w:t>
      </w:r>
      <w:r w:rsidR="00A474CD">
        <w:rPr>
          <w:color w:val="172242" w:themeColor="accent1"/>
        </w:rPr>
        <w:t xml:space="preserve">asset management sector and </w:t>
      </w:r>
      <w:r w:rsidRPr="00280231">
        <w:rPr>
          <w:color w:val="172242" w:themeColor="accent1"/>
        </w:rPr>
        <w:t xml:space="preserve">its history of technological innovation, </w:t>
      </w:r>
      <w:r w:rsidR="006F5FDA">
        <w:rPr>
          <w:color w:val="172242" w:themeColor="accent1"/>
        </w:rPr>
        <w:t xml:space="preserve">we are </w:t>
      </w:r>
      <w:r w:rsidRPr="00280231">
        <w:rPr>
          <w:color w:val="172242" w:themeColor="accent1"/>
        </w:rPr>
        <w:t xml:space="preserve">well-positioned to leverage AI’s remarkable capabilities. The </w:t>
      </w:r>
      <w:r w:rsidR="006F5FDA">
        <w:rPr>
          <w:color w:val="172242" w:themeColor="accent1"/>
        </w:rPr>
        <w:t xml:space="preserve">sector </w:t>
      </w:r>
      <w:r w:rsidRPr="00280231">
        <w:rPr>
          <w:color w:val="172242" w:themeColor="accent1"/>
        </w:rPr>
        <w:t xml:space="preserve">is </w:t>
      </w:r>
      <w:r w:rsidR="006F5FDA">
        <w:rPr>
          <w:color w:val="172242" w:themeColor="accent1"/>
        </w:rPr>
        <w:t xml:space="preserve">committed </w:t>
      </w:r>
      <w:r w:rsidRPr="00280231">
        <w:rPr>
          <w:color w:val="172242" w:themeColor="accent1"/>
        </w:rPr>
        <w:t xml:space="preserve">to </w:t>
      </w:r>
      <w:r w:rsidR="006F5FDA">
        <w:rPr>
          <w:color w:val="172242" w:themeColor="accent1"/>
        </w:rPr>
        <w:t xml:space="preserve">playing its part in fostering </w:t>
      </w:r>
      <w:r w:rsidRPr="00280231">
        <w:rPr>
          <w:color w:val="172242" w:themeColor="accent1"/>
        </w:rPr>
        <w:t xml:space="preserve">an environment where AI can drive </w:t>
      </w:r>
      <w:r w:rsidR="00DD36EC">
        <w:rPr>
          <w:color w:val="172242" w:themeColor="accent1"/>
        </w:rPr>
        <w:t xml:space="preserve">better outcomes for investors, </w:t>
      </w:r>
      <w:r w:rsidRPr="00280231">
        <w:rPr>
          <w:color w:val="172242" w:themeColor="accent1"/>
        </w:rPr>
        <w:t>economic growth</w:t>
      </w:r>
      <w:r w:rsidR="00DD36EC">
        <w:rPr>
          <w:color w:val="172242" w:themeColor="accent1"/>
        </w:rPr>
        <w:t xml:space="preserve"> </w:t>
      </w:r>
      <w:r w:rsidRPr="00280231">
        <w:rPr>
          <w:color w:val="172242" w:themeColor="accent1"/>
        </w:rPr>
        <w:t xml:space="preserve">and </w:t>
      </w:r>
      <w:r w:rsidR="00DD36EC">
        <w:rPr>
          <w:color w:val="172242" w:themeColor="accent1"/>
        </w:rPr>
        <w:t>providing capital to growing companies</w:t>
      </w:r>
      <w:r w:rsidRPr="00280231">
        <w:rPr>
          <w:color w:val="172242" w:themeColor="accent1"/>
        </w:rPr>
        <w:t xml:space="preserve">. Our goal is to </w:t>
      </w:r>
      <w:r w:rsidR="003F7097">
        <w:rPr>
          <w:color w:val="172242" w:themeColor="accent1"/>
        </w:rPr>
        <w:t xml:space="preserve">harness the power of </w:t>
      </w:r>
      <w:r w:rsidRPr="00280231">
        <w:rPr>
          <w:color w:val="172242" w:themeColor="accent1"/>
        </w:rPr>
        <w:t xml:space="preserve">AI </w:t>
      </w:r>
      <w:r w:rsidR="003F7097">
        <w:rPr>
          <w:color w:val="172242" w:themeColor="accent1"/>
        </w:rPr>
        <w:t xml:space="preserve">to enhance </w:t>
      </w:r>
      <w:r w:rsidR="00A73D11">
        <w:rPr>
          <w:color w:val="172242" w:themeColor="accent1"/>
        </w:rPr>
        <w:t xml:space="preserve">the sector’s </w:t>
      </w:r>
      <w:r w:rsidR="0013669E">
        <w:rPr>
          <w:color w:val="172242" w:themeColor="accent1"/>
        </w:rPr>
        <w:t xml:space="preserve">relative </w:t>
      </w:r>
      <w:r w:rsidRPr="00280231">
        <w:rPr>
          <w:color w:val="172242" w:themeColor="accent1"/>
        </w:rPr>
        <w:t>compet</w:t>
      </w:r>
      <w:r w:rsidR="00A73D11">
        <w:rPr>
          <w:color w:val="172242" w:themeColor="accent1"/>
        </w:rPr>
        <w:t>itive</w:t>
      </w:r>
      <w:r w:rsidR="0013669E">
        <w:rPr>
          <w:color w:val="172242" w:themeColor="accent1"/>
        </w:rPr>
        <w:t>ness</w:t>
      </w:r>
      <w:r w:rsidRPr="00280231">
        <w:rPr>
          <w:color w:val="172242" w:themeColor="accent1"/>
        </w:rPr>
        <w:t xml:space="preserve">, attract international AI companies to the UK, and promote responsible AI integration across </w:t>
      </w:r>
      <w:r w:rsidR="002032D7" w:rsidRPr="00280231">
        <w:rPr>
          <w:color w:val="172242" w:themeColor="accent1"/>
        </w:rPr>
        <w:t>financial services and the w</w:t>
      </w:r>
      <w:r w:rsidR="0013669E">
        <w:rPr>
          <w:color w:val="172242" w:themeColor="accent1"/>
        </w:rPr>
        <w:t>i</w:t>
      </w:r>
      <w:r w:rsidR="002032D7" w:rsidRPr="00280231">
        <w:rPr>
          <w:color w:val="172242" w:themeColor="accent1"/>
        </w:rPr>
        <w:t>der economy</w:t>
      </w:r>
      <w:r w:rsidRPr="00280231">
        <w:rPr>
          <w:color w:val="172242" w:themeColor="accent1"/>
        </w:rPr>
        <w:t>.</w:t>
      </w:r>
    </w:p>
    <w:p w14:paraId="5F652904" w14:textId="15CEC035" w:rsidR="00340F94" w:rsidRDefault="0013669E" w:rsidP="00340F94">
      <w:pPr>
        <w:spacing w:after="160" w:line="259" w:lineRule="auto"/>
        <w:rPr>
          <w:color w:val="172242" w:themeColor="accent1"/>
        </w:rPr>
      </w:pPr>
      <w:r>
        <w:rPr>
          <w:color w:val="172242" w:themeColor="accent1"/>
        </w:rPr>
        <w:t>To this end our recent work with the industry, regulator and government concluded that action was required in s</w:t>
      </w:r>
      <w:r w:rsidR="00C054E4">
        <w:rPr>
          <w:color w:val="172242" w:themeColor="accent1"/>
        </w:rPr>
        <w:t>even</w:t>
      </w:r>
      <w:r>
        <w:rPr>
          <w:color w:val="172242" w:themeColor="accent1"/>
        </w:rPr>
        <w:t xml:space="preserve"> areas to maximise the benefits to consumers, investors and the sector:</w:t>
      </w:r>
    </w:p>
    <w:p w14:paraId="6FC0AE42" w14:textId="73185D43" w:rsidR="00467B62" w:rsidRPr="00467B62" w:rsidRDefault="00467B62" w:rsidP="00340F94">
      <w:pPr>
        <w:spacing w:after="160" w:line="259" w:lineRule="auto"/>
        <w:rPr>
          <w:color w:val="172242" w:themeColor="accent1"/>
        </w:rPr>
      </w:pPr>
      <w:r w:rsidRPr="0736CA9D">
        <w:rPr>
          <w:b/>
          <w:bCs/>
          <w:color w:val="172242" w:themeColor="accent1"/>
        </w:rPr>
        <w:t>Skills and talent</w:t>
      </w:r>
      <w:r w:rsidRPr="0736CA9D">
        <w:rPr>
          <w:color w:val="172242" w:themeColor="accent1"/>
        </w:rPr>
        <w:t xml:space="preserve">: The UK needs to invest in building a skilled and diverse AI workforce that can meet the current and future demand for AI expertise, and that can adapt to the changing needs and challenges of the AI landscape. </w:t>
      </w:r>
      <w:r w:rsidR="6793742E" w:rsidRPr="0736CA9D">
        <w:rPr>
          <w:color w:val="172242" w:themeColor="accent1"/>
        </w:rPr>
        <w:t xml:space="preserve">We </w:t>
      </w:r>
      <w:r w:rsidRPr="0736CA9D">
        <w:rPr>
          <w:color w:val="172242" w:themeColor="accent1"/>
        </w:rPr>
        <w:t>recommend that the UK government strengthens its commitments to promote the growth and strength of computer science, data science, software engineering and other related fields within our universities and colleges. There could also be better alignment between the content of courses and the needs of industry. Additionally, more can be done to build mutually beneficial connections and partnerships between UK post-16 education institutions and industry.</w:t>
      </w:r>
    </w:p>
    <w:p w14:paraId="4DEA0486" w14:textId="342AE413" w:rsidR="00467B62" w:rsidRPr="00467B62" w:rsidRDefault="00467B62" w:rsidP="0736CA9D">
      <w:pPr>
        <w:spacing w:after="160" w:line="259" w:lineRule="auto"/>
        <w:rPr>
          <w:color w:val="172242" w:themeColor="accent1"/>
        </w:rPr>
      </w:pPr>
      <w:r w:rsidRPr="0736CA9D">
        <w:rPr>
          <w:b/>
          <w:bCs/>
          <w:color w:val="172242" w:themeColor="accent1"/>
        </w:rPr>
        <w:t>Regulation</w:t>
      </w:r>
      <w:r w:rsidRPr="0736CA9D">
        <w:rPr>
          <w:color w:val="172242" w:themeColor="accent1"/>
        </w:rPr>
        <w:t xml:space="preserve">: Fundamentally, </w:t>
      </w:r>
      <w:r w:rsidR="2EB0B01F" w:rsidRPr="0736CA9D">
        <w:rPr>
          <w:color w:val="172242" w:themeColor="accent1"/>
        </w:rPr>
        <w:t>the industry</w:t>
      </w:r>
      <w:r w:rsidRPr="0736CA9D">
        <w:rPr>
          <w:color w:val="172242" w:themeColor="accent1"/>
        </w:rPr>
        <w:t xml:space="preserve"> desires regulatory clarity and consistency to enable developers and users of AI to plan and invest with confidence. In pursuit of this ambition, </w:t>
      </w:r>
      <w:r w:rsidR="666B80D9" w:rsidRPr="0036510A">
        <w:rPr>
          <w:color w:val="172242" w:themeColor="accent1"/>
        </w:rPr>
        <w:t>we</w:t>
      </w:r>
      <w:r w:rsidRPr="0736CA9D">
        <w:rPr>
          <w:color w:val="172242" w:themeColor="accent1"/>
        </w:rPr>
        <w:t xml:space="preserve"> emphasise the importance of the UK government’s leadership in facilitating international regulatory coordination and </w:t>
      </w:r>
      <w:r w:rsidRPr="0736CA9D">
        <w:rPr>
          <w:color w:val="172242" w:themeColor="accent1"/>
        </w:rPr>
        <w:lastRenderedPageBreak/>
        <w:t xml:space="preserve">alignment on AI, as well as supporting responsible international data flows. Domestically, </w:t>
      </w:r>
      <w:r w:rsidR="3EDA6839" w:rsidRPr="0736CA9D">
        <w:rPr>
          <w:color w:val="172242" w:themeColor="accent1"/>
        </w:rPr>
        <w:t>we are</w:t>
      </w:r>
      <w:r w:rsidRPr="0736CA9D">
        <w:rPr>
          <w:color w:val="172242" w:themeColor="accent1"/>
        </w:rPr>
        <w:t xml:space="preserve"> supportive of the current direction of travel on AI regulation.</w:t>
      </w:r>
    </w:p>
    <w:p w14:paraId="25BC6DE9" w14:textId="5FD4B877" w:rsidR="00467B62" w:rsidRPr="00467B62" w:rsidRDefault="00467B62" w:rsidP="00467B62">
      <w:pPr>
        <w:spacing w:after="160" w:line="259" w:lineRule="auto"/>
        <w:rPr>
          <w:color w:val="172242" w:themeColor="accent1"/>
        </w:rPr>
      </w:pPr>
      <w:r w:rsidRPr="0736CA9D">
        <w:rPr>
          <w:b/>
          <w:bCs/>
          <w:color w:val="172242" w:themeColor="accent1"/>
        </w:rPr>
        <w:t>Malicious actors</w:t>
      </w:r>
      <w:r w:rsidRPr="0736CA9D">
        <w:rPr>
          <w:color w:val="172242" w:themeColor="accent1"/>
        </w:rPr>
        <w:t xml:space="preserve">: Potential misuse of AI technology by malicious actors is a serious threat to overall public trust in AI. </w:t>
      </w:r>
      <w:r w:rsidR="2491352D" w:rsidRPr="0736CA9D">
        <w:rPr>
          <w:color w:val="172242" w:themeColor="accent1"/>
        </w:rPr>
        <w:t xml:space="preserve">We </w:t>
      </w:r>
      <w:r w:rsidRPr="0736CA9D">
        <w:rPr>
          <w:color w:val="172242" w:themeColor="accent1"/>
        </w:rPr>
        <w:t xml:space="preserve">welcome recent initiatives by domestic and international authorities to better understand and mitigate the risks that malicious actors could pose. </w:t>
      </w:r>
      <w:r w:rsidR="650F9D85" w:rsidRPr="0736CA9D">
        <w:rPr>
          <w:color w:val="172242" w:themeColor="accent1"/>
        </w:rPr>
        <w:t xml:space="preserve">We </w:t>
      </w:r>
      <w:r w:rsidRPr="0736CA9D">
        <w:rPr>
          <w:color w:val="172242" w:themeColor="accent1"/>
        </w:rPr>
        <w:t>emphasise the importance of joint public and private sector action and appropriate policies to counter AI-enabled fraud, cybercrime and misinformation.</w:t>
      </w:r>
    </w:p>
    <w:p w14:paraId="48D14655" w14:textId="07E505CC" w:rsidR="00467B62" w:rsidRPr="00467B62" w:rsidRDefault="00467B62" w:rsidP="00467B62">
      <w:pPr>
        <w:spacing w:after="160" w:line="259" w:lineRule="auto"/>
        <w:rPr>
          <w:color w:val="172242" w:themeColor="accent1"/>
        </w:rPr>
      </w:pPr>
      <w:r w:rsidRPr="0736CA9D">
        <w:rPr>
          <w:b/>
          <w:bCs/>
          <w:color w:val="172242" w:themeColor="accent1"/>
        </w:rPr>
        <w:t>New systemic risks</w:t>
      </w:r>
      <w:r w:rsidRPr="0736CA9D">
        <w:rPr>
          <w:color w:val="172242" w:themeColor="accent1"/>
        </w:rPr>
        <w:t xml:space="preserve">: The changing profile of systemic risk in the financial sector should not be a reason to hold back from innovating. Rather, </w:t>
      </w:r>
      <w:r w:rsidR="060F5293" w:rsidRPr="0736CA9D">
        <w:rPr>
          <w:color w:val="172242" w:themeColor="accent1"/>
        </w:rPr>
        <w:t>we</w:t>
      </w:r>
      <w:r w:rsidRPr="0736CA9D">
        <w:rPr>
          <w:color w:val="172242" w:themeColor="accent1"/>
        </w:rPr>
        <w:t xml:space="preserve"> consider it an ongoing challenge to be managed alongside technology transformation. </w:t>
      </w:r>
      <w:r w:rsidR="55693A88" w:rsidRPr="0736CA9D">
        <w:rPr>
          <w:color w:val="172242" w:themeColor="accent1"/>
        </w:rPr>
        <w:t>We</w:t>
      </w:r>
      <w:r w:rsidRPr="0736CA9D">
        <w:rPr>
          <w:color w:val="172242" w:themeColor="accent1"/>
        </w:rPr>
        <w:t xml:space="preserve"> support the work of the Bank’s Financial Policy Committee in highlighting potential systemic risks. In addition, </w:t>
      </w:r>
      <w:r w:rsidR="380971E5" w:rsidRPr="0736CA9D">
        <w:rPr>
          <w:color w:val="172242" w:themeColor="accent1"/>
        </w:rPr>
        <w:t>we</w:t>
      </w:r>
      <w:r w:rsidRPr="0736CA9D">
        <w:rPr>
          <w:color w:val="172242" w:themeColor="accent1"/>
        </w:rPr>
        <w:t xml:space="preserve"> see the </w:t>
      </w:r>
      <w:r w:rsidR="7549E97D" w:rsidRPr="0736CA9D">
        <w:rPr>
          <w:color w:val="172242" w:themeColor="accent1"/>
        </w:rPr>
        <w:t>new</w:t>
      </w:r>
      <w:r w:rsidRPr="0736CA9D">
        <w:rPr>
          <w:color w:val="172242" w:themeColor="accent1"/>
        </w:rPr>
        <w:t xml:space="preserve"> critical third parties regime as a positive development that will empower regulators to address potential systemic risks that may emerge.</w:t>
      </w:r>
    </w:p>
    <w:p w14:paraId="1F83F7AF" w14:textId="6A7594D3" w:rsidR="00467B62" w:rsidRPr="00467B62" w:rsidRDefault="00467B62" w:rsidP="00467B62">
      <w:pPr>
        <w:spacing w:after="160" w:line="259" w:lineRule="auto"/>
        <w:rPr>
          <w:color w:val="172242" w:themeColor="accent1"/>
        </w:rPr>
      </w:pPr>
      <w:r w:rsidRPr="0736CA9D">
        <w:rPr>
          <w:b/>
          <w:bCs/>
          <w:color w:val="172242" w:themeColor="accent1"/>
        </w:rPr>
        <w:t>AI risks and governance</w:t>
      </w:r>
      <w:r w:rsidRPr="0736CA9D">
        <w:rPr>
          <w:color w:val="172242" w:themeColor="accent1"/>
        </w:rPr>
        <w:t xml:space="preserve">: The industry should continue to work together to develop its collective understanding of AI risks and identify best practices in risk management, governance and ethics. The IA will continue to facilitate this </w:t>
      </w:r>
      <w:r w:rsidR="660EBD00" w:rsidRPr="0736CA9D">
        <w:rPr>
          <w:color w:val="172242" w:themeColor="accent1"/>
        </w:rPr>
        <w:t>and work with our members to</w:t>
      </w:r>
      <w:r w:rsidRPr="0736CA9D">
        <w:rPr>
          <w:color w:val="172242" w:themeColor="accent1"/>
        </w:rPr>
        <w:t xml:space="preserve"> produce more detailed industry guidance on AI risk and governance.</w:t>
      </w:r>
    </w:p>
    <w:p w14:paraId="24C1AF05" w14:textId="1616E330" w:rsidR="00467B62" w:rsidRPr="00C054E4" w:rsidRDefault="00467B62" w:rsidP="00467B62">
      <w:pPr>
        <w:spacing w:after="160" w:line="259" w:lineRule="auto"/>
        <w:rPr>
          <w:color w:val="172242" w:themeColor="accent1"/>
        </w:rPr>
      </w:pPr>
      <w:r w:rsidRPr="0736CA9D">
        <w:rPr>
          <w:b/>
          <w:bCs/>
          <w:color w:val="172242" w:themeColor="accent1"/>
        </w:rPr>
        <w:t>Legal uncertainties</w:t>
      </w:r>
      <w:r w:rsidRPr="0736CA9D">
        <w:rPr>
          <w:color w:val="172242" w:themeColor="accent1"/>
        </w:rPr>
        <w:t xml:space="preserve">: Legal uncertainties around AI are likely to persist for some time. In the meantime, industry-led benchmarking, best practice guidance, ethical frameworks and standards can bring confidence and reassurance to market participants. </w:t>
      </w:r>
      <w:r w:rsidR="632A43CF" w:rsidRPr="725462AE">
        <w:rPr>
          <w:color w:val="172242" w:themeColor="accent1"/>
        </w:rPr>
        <w:t>We</w:t>
      </w:r>
      <w:r w:rsidRPr="0736CA9D">
        <w:rPr>
          <w:color w:val="172242" w:themeColor="accent1"/>
        </w:rPr>
        <w:t xml:space="preserve"> recommend that the industry steps up its efforts to collaborate on these issues.</w:t>
      </w:r>
    </w:p>
    <w:p w14:paraId="1C3AF765" w14:textId="57D9CDBF" w:rsidR="00467B62" w:rsidRDefault="00467B62" w:rsidP="00467B62">
      <w:pPr>
        <w:spacing w:after="160" w:line="259" w:lineRule="auto"/>
        <w:rPr>
          <w:color w:val="172242" w:themeColor="accent1"/>
        </w:rPr>
      </w:pPr>
      <w:r w:rsidRPr="00280231">
        <w:rPr>
          <w:b/>
          <w:bCs/>
          <w:color w:val="172242" w:themeColor="accent1"/>
        </w:rPr>
        <w:t>UK FinTech ecosystem</w:t>
      </w:r>
      <w:r w:rsidRPr="00467B62">
        <w:rPr>
          <w:color w:val="172242" w:themeColor="accent1"/>
        </w:rPr>
        <w:t xml:space="preserve">: The IA will continue to build stronger connections between the investment management industry and </w:t>
      </w:r>
      <w:proofErr w:type="spellStart"/>
      <w:r w:rsidRPr="00467B62">
        <w:rPr>
          <w:color w:val="172242" w:themeColor="accent1"/>
        </w:rPr>
        <w:t>FinTechs</w:t>
      </w:r>
      <w:proofErr w:type="spellEnd"/>
      <w:r w:rsidRPr="00467B62">
        <w:rPr>
          <w:color w:val="172242" w:themeColor="accent1"/>
        </w:rPr>
        <w:t xml:space="preserve"> via IA Engine. </w:t>
      </w:r>
      <w:r w:rsidR="6C6146FF" w:rsidRPr="725462AE">
        <w:rPr>
          <w:color w:val="172242" w:themeColor="accent1"/>
        </w:rPr>
        <w:t>We</w:t>
      </w:r>
      <w:r w:rsidRPr="00467B62">
        <w:rPr>
          <w:color w:val="172242" w:themeColor="accent1"/>
        </w:rPr>
        <w:t xml:space="preserve"> will work both domestically and with its Global Partners to ensure that firms have viable options for collaboration.</w:t>
      </w:r>
    </w:p>
    <w:p w14:paraId="0468815B" w14:textId="77777777" w:rsidR="004D0F4E" w:rsidRPr="00280231" w:rsidRDefault="004D0F4E" w:rsidP="00467B62">
      <w:pPr>
        <w:spacing w:after="160" w:line="259" w:lineRule="auto"/>
        <w:rPr>
          <w:color w:val="172242" w:themeColor="accent1"/>
        </w:rPr>
      </w:pPr>
    </w:p>
    <w:p w14:paraId="030212D7" w14:textId="47E8006F" w:rsidR="00DC70A6" w:rsidRPr="00DC70A6" w:rsidRDefault="00FD4801" w:rsidP="00DC70A6">
      <w:pPr>
        <w:spacing w:after="160" w:line="259" w:lineRule="auto"/>
        <w:rPr>
          <w:color w:val="27B88C" w:themeColor="accent2"/>
          <w:sz w:val="28"/>
          <w:szCs w:val="28"/>
        </w:rPr>
      </w:pPr>
      <w:r>
        <w:rPr>
          <w:color w:val="27B88C" w:themeColor="accent2"/>
          <w:sz w:val="28"/>
          <w:szCs w:val="28"/>
        </w:rPr>
        <w:t xml:space="preserve">How is AI currently used </w:t>
      </w:r>
      <w:r w:rsidR="006A15BD">
        <w:rPr>
          <w:color w:val="27B88C" w:themeColor="accent2"/>
          <w:sz w:val="28"/>
          <w:szCs w:val="28"/>
        </w:rPr>
        <w:t xml:space="preserve">in financial services and how is this likely to </w:t>
      </w:r>
      <w:r w:rsidR="003B3243">
        <w:rPr>
          <w:color w:val="27B88C" w:themeColor="accent2"/>
          <w:sz w:val="28"/>
          <w:szCs w:val="28"/>
        </w:rPr>
        <w:t>change over t</w:t>
      </w:r>
      <w:r w:rsidR="00705713">
        <w:rPr>
          <w:color w:val="27B88C" w:themeColor="accent2"/>
          <w:sz w:val="28"/>
          <w:szCs w:val="28"/>
        </w:rPr>
        <w:t>ime?</w:t>
      </w:r>
    </w:p>
    <w:p w14:paraId="53303DDC" w14:textId="5AFD8FB4" w:rsidR="00C802AB" w:rsidRPr="00C802AB" w:rsidRDefault="00C802AB" w:rsidP="00C802AB">
      <w:pPr>
        <w:rPr>
          <w:color w:val="172242" w:themeColor="accent1"/>
        </w:rPr>
      </w:pPr>
      <w:r w:rsidRPr="00C802AB">
        <w:rPr>
          <w:color w:val="172242" w:themeColor="accent1"/>
        </w:rPr>
        <w:t>For individual firms, AI presents an opportunity to drive operational efficiencies, develop innovative solutions and improve the service offering to customers. For the industry as a whole, AI represents a strategic opportunity to increase both the domestic and international competitiveness of the UK’s investment sector and contribute to economic growth.</w:t>
      </w:r>
    </w:p>
    <w:p w14:paraId="7CC1F0CB" w14:textId="4E2296EE" w:rsidR="00C802AB" w:rsidRPr="00C802AB" w:rsidRDefault="00C802AB" w:rsidP="00C802AB">
      <w:pPr>
        <w:rPr>
          <w:color w:val="172242" w:themeColor="accent1"/>
        </w:rPr>
      </w:pPr>
      <w:r w:rsidRPr="00C802AB">
        <w:rPr>
          <w:color w:val="172242" w:themeColor="accent1"/>
        </w:rPr>
        <w:t>The</w:t>
      </w:r>
      <w:r w:rsidR="006446A2">
        <w:rPr>
          <w:color w:val="172242" w:themeColor="accent1"/>
        </w:rPr>
        <w:t xml:space="preserve"> investment management</w:t>
      </w:r>
      <w:r w:rsidRPr="00C802AB">
        <w:rPr>
          <w:color w:val="172242" w:themeColor="accent1"/>
        </w:rPr>
        <w:t xml:space="preserve"> industry’s relationship with AI began several years ago with classical AI, which is characterised by its predictive power and ability to draw insights from data. Mature use cases utilising classical AI include algorithmic trading and supporting anti-money laundering monitoring. More recent leaps forward in generative AI have catapulted interest in the technology to the forefront and greatly expanded the canvas of possibilities. Generative AI is a step change because such models are capable of generating new content at the user’s command and can be interacted with in natural language via a chatbot interface. </w:t>
      </w:r>
    </w:p>
    <w:p w14:paraId="3E46B0DC" w14:textId="3DA23BFD" w:rsidR="00CE6C1F" w:rsidRPr="00CE6C1F" w:rsidRDefault="00CE6C1F" w:rsidP="00CE6C1F">
      <w:pPr>
        <w:rPr>
          <w:color w:val="172242" w:themeColor="accent1"/>
        </w:rPr>
      </w:pPr>
      <w:r w:rsidRPr="00CE6C1F">
        <w:rPr>
          <w:color w:val="172242" w:themeColor="accent1"/>
        </w:rPr>
        <w:t xml:space="preserve">There is general acceptance that we are now in a period of accelerating, potentially unprecedented, general technological advance. Harnessing that decisively in the </w:t>
      </w:r>
      <w:r w:rsidR="00532B70">
        <w:rPr>
          <w:color w:val="172242" w:themeColor="accent1"/>
        </w:rPr>
        <w:t>UK</w:t>
      </w:r>
      <w:r w:rsidRPr="00CE6C1F">
        <w:rPr>
          <w:color w:val="172242" w:themeColor="accent1"/>
        </w:rPr>
        <w:t xml:space="preserve"> will contribute to two key objectives. First to enable better products, services and business growth, helping millions of domestic investors and the UK economy. Second, as the sector is so interconnected to the global economy, to drive international competitiveness as part of the wider UK financial services cluster.</w:t>
      </w:r>
    </w:p>
    <w:p w14:paraId="2B13FD5E" w14:textId="77777777" w:rsidR="00F4615F" w:rsidRDefault="00CE6C1F" w:rsidP="00CE6C1F">
      <w:pPr>
        <w:rPr>
          <w:color w:val="172242" w:themeColor="accent1"/>
        </w:rPr>
      </w:pPr>
      <w:r w:rsidRPr="00CE6C1F">
        <w:rPr>
          <w:color w:val="172242" w:themeColor="accent1"/>
        </w:rPr>
        <w:t xml:space="preserve">As a result of that international outlook, firms have a choice of where to base and grow their business. The ability of investment managers to leverage </w:t>
      </w:r>
      <w:r w:rsidR="00250A8B">
        <w:rPr>
          <w:color w:val="172242" w:themeColor="accent1"/>
        </w:rPr>
        <w:t>AI</w:t>
      </w:r>
      <w:r w:rsidRPr="00CE6C1F">
        <w:rPr>
          <w:color w:val="172242" w:themeColor="accent1"/>
        </w:rPr>
        <w:t xml:space="preserve"> is becoming a key consideration for firms due to its recent </w:t>
      </w:r>
      <w:r w:rsidRPr="00CE6C1F">
        <w:rPr>
          <w:color w:val="172242" w:themeColor="accent1"/>
        </w:rPr>
        <w:lastRenderedPageBreak/>
        <w:t>emergence as a technology with significant potential in powering future growth. Recently, the International Monetary Fund (IMF) ranked the UK at 11th place in its global AI Preparedness Index (AIPI)</w:t>
      </w:r>
      <w:r w:rsidRPr="001D526C">
        <w:rPr>
          <w:color w:val="172242" w:themeColor="accent1"/>
          <w:vertAlign w:val="superscript"/>
        </w:rPr>
        <w:endnoteReference w:id="2"/>
      </w:r>
      <w:r w:rsidRPr="00CE6C1F">
        <w:rPr>
          <w:color w:val="172242" w:themeColor="accent1"/>
        </w:rPr>
        <w:t xml:space="preserve">, which indicates that improvements could be made in the overall environment for AI in the UK. </w:t>
      </w:r>
    </w:p>
    <w:p w14:paraId="38FBD04C" w14:textId="693F9DDD" w:rsidR="00CE6C1F" w:rsidRDefault="00CE6C1F" w:rsidP="00CE6C1F">
      <w:pPr>
        <w:rPr>
          <w:color w:val="172242" w:themeColor="accent1"/>
        </w:rPr>
      </w:pPr>
      <w:r w:rsidRPr="00CE6C1F">
        <w:rPr>
          <w:color w:val="172242" w:themeColor="accent1"/>
        </w:rPr>
        <w:t xml:space="preserve">The AIPI assesses 174 countries, based on a rich set of macro-structural indicators that cover the countries’ digital infrastructure, human capital and labour market policies, innovation and economic integration, and regulation and ethics. The UK’s score is above average for advanced economies, yet </w:t>
      </w:r>
      <w:r w:rsidR="008A35DC">
        <w:rPr>
          <w:color w:val="172242" w:themeColor="accent1"/>
        </w:rPr>
        <w:t>there is work to be done</w:t>
      </w:r>
      <w:r w:rsidR="00342F80">
        <w:rPr>
          <w:color w:val="172242" w:themeColor="accent1"/>
        </w:rPr>
        <w:t>. If</w:t>
      </w:r>
      <w:r w:rsidRPr="00CE6C1F">
        <w:rPr>
          <w:color w:val="172242" w:themeColor="accent1"/>
        </w:rPr>
        <w:t xml:space="preserve"> progress </w:t>
      </w:r>
      <w:r w:rsidR="00342F80">
        <w:rPr>
          <w:color w:val="172242" w:themeColor="accent1"/>
        </w:rPr>
        <w:t xml:space="preserve">is made on </w:t>
      </w:r>
      <w:r w:rsidRPr="00CE6C1F">
        <w:rPr>
          <w:color w:val="172242" w:themeColor="accent1"/>
        </w:rPr>
        <w:t>the recommendations</w:t>
      </w:r>
      <w:r w:rsidR="00342F80">
        <w:rPr>
          <w:color w:val="172242" w:themeColor="accent1"/>
        </w:rPr>
        <w:t xml:space="preserve"> </w:t>
      </w:r>
      <w:r w:rsidR="008F3863">
        <w:rPr>
          <w:color w:val="172242" w:themeColor="accent1"/>
        </w:rPr>
        <w:t>put forward</w:t>
      </w:r>
      <w:r w:rsidR="00342F80">
        <w:rPr>
          <w:color w:val="172242" w:themeColor="accent1"/>
        </w:rPr>
        <w:t xml:space="preserve"> above</w:t>
      </w:r>
      <w:r w:rsidR="008E7465" w:rsidRPr="008E7465">
        <w:rPr>
          <w:color w:val="172242" w:themeColor="accent1"/>
        </w:rPr>
        <w:t xml:space="preserve">, </w:t>
      </w:r>
      <w:r w:rsidRPr="00CE6C1F">
        <w:rPr>
          <w:color w:val="172242" w:themeColor="accent1"/>
        </w:rPr>
        <w:t>it could help to bolster growth and enhance the UK’s position for future AIPI assessments, particularly in the eyes of investment management firms</w:t>
      </w:r>
      <w:r w:rsidR="00112861">
        <w:rPr>
          <w:color w:val="172242" w:themeColor="accent1"/>
        </w:rPr>
        <w:t>.</w:t>
      </w:r>
    </w:p>
    <w:p w14:paraId="626F2C4C" w14:textId="77777777" w:rsidR="00CE6C1F" w:rsidRDefault="00CE6C1F" w:rsidP="00817F92">
      <w:pPr>
        <w:jc w:val="both"/>
        <w:rPr>
          <w:color w:val="172242" w:themeColor="accent1"/>
        </w:rPr>
      </w:pPr>
    </w:p>
    <w:p w14:paraId="632FA24F" w14:textId="04005BAC" w:rsidR="003B3872" w:rsidRPr="00941198" w:rsidRDefault="006E0302" w:rsidP="00941198">
      <w:pPr>
        <w:spacing w:after="160" w:line="259" w:lineRule="auto"/>
        <w:rPr>
          <w:color w:val="27B88C" w:themeColor="accent2"/>
          <w:sz w:val="28"/>
          <w:szCs w:val="28"/>
        </w:rPr>
      </w:pPr>
      <w:r w:rsidRPr="00BF6BE9">
        <w:rPr>
          <w:color w:val="27B88C" w:themeColor="accent2"/>
          <w:sz w:val="28"/>
          <w:szCs w:val="28"/>
        </w:rPr>
        <w:t>To what extent can AI improve productivity in financial services?</w:t>
      </w:r>
    </w:p>
    <w:p w14:paraId="292056D3" w14:textId="1FCBC8FF" w:rsidR="00820534" w:rsidRPr="00820534" w:rsidRDefault="00E81464" w:rsidP="00820534">
      <w:pPr>
        <w:rPr>
          <w:color w:val="172242" w:themeColor="accent1"/>
        </w:rPr>
      </w:pPr>
      <w:r>
        <w:rPr>
          <w:color w:val="172242" w:themeColor="accent1"/>
        </w:rPr>
        <w:t>T</w:t>
      </w:r>
      <w:r w:rsidR="00820534" w:rsidRPr="00820534">
        <w:rPr>
          <w:color w:val="172242" w:themeColor="accent1"/>
        </w:rPr>
        <w:t>here is potential for significant transformation in the long-term but</w:t>
      </w:r>
      <w:r w:rsidR="00E14D52">
        <w:rPr>
          <w:color w:val="172242" w:themeColor="accent1"/>
        </w:rPr>
        <w:t xml:space="preserve"> the </w:t>
      </w:r>
      <w:r w:rsidR="008F3863">
        <w:rPr>
          <w:color w:val="172242" w:themeColor="accent1"/>
        </w:rPr>
        <w:t xml:space="preserve">asset management </w:t>
      </w:r>
      <w:r w:rsidR="00541156">
        <w:rPr>
          <w:color w:val="172242" w:themeColor="accent1"/>
        </w:rPr>
        <w:t>industry</w:t>
      </w:r>
      <w:r w:rsidR="00820534" w:rsidRPr="00820534">
        <w:rPr>
          <w:color w:val="172242" w:themeColor="accent1"/>
        </w:rPr>
        <w:t xml:space="preserve"> is focused most immediately on driving internal business productivity gains. As a function at the heart of capital raising and with multiple points of interaction with other industries, the investment management sector has the potential to embed AI in nearly every one of its functions.</w:t>
      </w:r>
    </w:p>
    <w:p w14:paraId="612FC9C4" w14:textId="19AD5DDE" w:rsidR="009936B6" w:rsidRDefault="00820534" w:rsidP="000D160B">
      <w:pPr>
        <w:jc w:val="both"/>
        <w:rPr>
          <w:color w:val="172242" w:themeColor="accent1"/>
        </w:rPr>
      </w:pPr>
      <w:r w:rsidRPr="00820534">
        <w:rPr>
          <w:color w:val="172242" w:themeColor="accent1"/>
        </w:rPr>
        <w:t xml:space="preserve">For many years, the steady rise of AI has been fuelled by a coming together of more abundant data and ever greater computing power. More recent groundbreaking developments in generative AI have brought the technology to the forefront of the industry’s attention and greatly expanded the number of possibilities. </w:t>
      </w:r>
    </w:p>
    <w:p w14:paraId="4E869ACB" w14:textId="135FE70E" w:rsidR="008458F4" w:rsidRPr="008458F4" w:rsidRDefault="009266FB" w:rsidP="005D0A66">
      <w:pPr>
        <w:rPr>
          <w:color w:val="172242" w:themeColor="accent1"/>
        </w:rPr>
      </w:pPr>
      <w:r>
        <w:rPr>
          <w:color w:val="172242" w:themeColor="accent1"/>
        </w:rPr>
        <w:t xml:space="preserve">With respect to </w:t>
      </w:r>
      <w:r w:rsidR="00D76599">
        <w:rPr>
          <w:color w:val="172242" w:themeColor="accent1"/>
        </w:rPr>
        <w:t xml:space="preserve">capturing the opportunities </w:t>
      </w:r>
      <w:r w:rsidR="005D0A66">
        <w:rPr>
          <w:color w:val="172242" w:themeColor="accent1"/>
        </w:rPr>
        <w:t>presented by</w:t>
      </w:r>
      <w:r w:rsidR="00D76599">
        <w:rPr>
          <w:color w:val="172242" w:themeColor="accent1"/>
        </w:rPr>
        <w:t xml:space="preserve"> generative AI, </w:t>
      </w:r>
      <w:r w:rsidR="00541156">
        <w:rPr>
          <w:color w:val="172242" w:themeColor="accent1"/>
        </w:rPr>
        <w:t xml:space="preserve">many firms have </w:t>
      </w:r>
      <w:r w:rsidR="008458F4" w:rsidRPr="008458F4">
        <w:rPr>
          <w:color w:val="172242" w:themeColor="accent1"/>
        </w:rPr>
        <w:t>formed internal groups, such as innovation labs or cross-firm working groups, to foster collaboration and knowledge sharing among AI experts and business users. They have also been collecting potential use cases or 'wish lists' of areas where AI could add value or solve problems. Some of these use cases are being tested in the concept stage, either internally or with external partners, to validate their feasibility and impact.</w:t>
      </w:r>
    </w:p>
    <w:p w14:paraId="1CED47D9" w14:textId="77777777" w:rsidR="008458F4" w:rsidRDefault="008458F4" w:rsidP="008458F4">
      <w:pPr>
        <w:rPr>
          <w:color w:val="172242" w:themeColor="accent1"/>
        </w:rPr>
      </w:pPr>
      <w:r w:rsidRPr="008458F4">
        <w:rPr>
          <w:color w:val="172242" w:themeColor="accent1"/>
        </w:rPr>
        <w:t>The deployment of general-purpose AI co-pilots and internal chatbots is already well established at this stage within many firms.</w:t>
      </w:r>
    </w:p>
    <w:p w14:paraId="05392BE6" w14:textId="77777777" w:rsidR="003149B9" w:rsidRPr="003149B9" w:rsidRDefault="003149B9" w:rsidP="003149B9">
      <w:pPr>
        <w:rPr>
          <w:color w:val="172242" w:themeColor="accent1"/>
        </w:rPr>
      </w:pPr>
      <w:r w:rsidRPr="003149B9">
        <w:rPr>
          <w:color w:val="172242" w:themeColor="accent1"/>
        </w:rPr>
        <w:t>Many firms are working through their lists of potential use cases, identifying those that have the most value and feasibility and then advancing those to be piloted.</w:t>
      </w:r>
    </w:p>
    <w:p w14:paraId="7D55CFCC" w14:textId="77777777" w:rsidR="003149B9" w:rsidRPr="003149B9" w:rsidRDefault="003149B9" w:rsidP="003149B9">
      <w:pPr>
        <w:rPr>
          <w:color w:val="172242" w:themeColor="accent1"/>
        </w:rPr>
      </w:pPr>
      <w:r w:rsidRPr="003149B9">
        <w:rPr>
          <w:color w:val="172242" w:themeColor="accent1"/>
        </w:rPr>
        <w:t>Firms are also looking to scale-up the existing concepts that have already shown promise in the testing stage by deploying them in production environments and making them available to a wider range of business users.</w:t>
      </w:r>
    </w:p>
    <w:p w14:paraId="6011BC9E" w14:textId="77777777" w:rsidR="003149B9" w:rsidRPr="003149B9" w:rsidRDefault="003149B9" w:rsidP="003149B9">
      <w:pPr>
        <w:rPr>
          <w:color w:val="172242" w:themeColor="accent1"/>
        </w:rPr>
      </w:pPr>
      <w:r w:rsidRPr="003149B9">
        <w:rPr>
          <w:color w:val="172242" w:themeColor="accent1"/>
        </w:rPr>
        <w:t>Scaling-up often necessitates making key decisions around whether the firm will invest in building AI capabilities itself, or alternatively if it will buy-in these new capabilities or partner with a technology provider. Some firms are also starting to form partnerships with educational institutions to work on joint projects</w:t>
      </w:r>
      <w:r w:rsidRPr="009E7D11">
        <w:rPr>
          <w:color w:val="172242" w:themeColor="accent1"/>
          <w:vertAlign w:val="superscript"/>
        </w:rPr>
        <w:endnoteReference w:id="3"/>
      </w:r>
      <w:r w:rsidRPr="003149B9">
        <w:rPr>
          <w:color w:val="172242" w:themeColor="accent1"/>
        </w:rPr>
        <w:t>.</w:t>
      </w:r>
    </w:p>
    <w:p w14:paraId="79029274" w14:textId="5DE8E70B" w:rsidR="00170AC2" w:rsidRPr="00170AC2" w:rsidRDefault="00170AC2" w:rsidP="00170AC2">
      <w:pPr>
        <w:rPr>
          <w:color w:val="172242" w:themeColor="accent1"/>
        </w:rPr>
      </w:pPr>
      <w:r w:rsidRPr="00170AC2">
        <w:rPr>
          <w:color w:val="172242" w:themeColor="accent1"/>
        </w:rPr>
        <w:t>Many firms are exploring the possibility of combining classical and generative AI, or using multiple or specialised LLMs, to enhance their capabilities and create more innovative solutions. These are more advanced and complex applications of generative AI, and require more research and development. Such concepts being explored include self-supervised federated AI, agentic architectures and compound AI</w:t>
      </w:r>
      <w:r>
        <w:rPr>
          <w:color w:val="172242" w:themeColor="accent1"/>
        </w:rPr>
        <w:t>.</w:t>
      </w:r>
    </w:p>
    <w:p w14:paraId="72B963B9" w14:textId="5E2BACCD" w:rsidR="00170AC2" w:rsidRPr="00170AC2" w:rsidRDefault="00170AC2" w:rsidP="00170AC2">
      <w:pPr>
        <w:rPr>
          <w:color w:val="172242" w:themeColor="accent1"/>
        </w:rPr>
      </w:pPr>
      <w:r w:rsidRPr="00170AC2">
        <w:rPr>
          <w:color w:val="172242" w:themeColor="accent1"/>
        </w:rPr>
        <w:t>Some firms are also exploring how to make generative AI models behave in a deterministic fashion. However, a fundamental shift will be required for this to be possible.</w:t>
      </w:r>
    </w:p>
    <w:p w14:paraId="4D33AC83" w14:textId="77777777" w:rsidR="00170AC2" w:rsidRPr="00170AC2" w:rsidRDefault="00170AC2" w:rsidP="00170AC2">
      <w:pPr>
        <w:rPr>
          <w:color w:val="172242" w:themeColor="accent1"/>
        </w:rPr>
      </w:pPr>
      <w:r w:rsidRPr="00170AC2">
        <w:rPr>
          <w:color w:val="172242" w:themeColor="accent1"/>
        </w:rPr>
        <w:t>A key reference point through all of this is thinking about how AI can bring about better outcomes for clients and consumers.</w:t>
      </w:r>
    </w:p>
    <w:p w14:paraId="2A09E823" w14:textId="077D689A" w:rsidR="009936B6" w:rsidRPr="00170AC2" w:rsidRDefault="00170AC2" w:rsidP="00C84D35">
      <w:pPr>
        <w:rPr>
          <w:color w:val="172242" w:themeColor="accent1"/>
        </w:rPr>
      </w:pPr>
      <w:r w:rsidRPr="00170AC2">
        <w:rPr>
          <w:color w:val="172242" w:themeColor="accent1"/>
        </w:rPr>
        <w:t xml:space="preserve">Finally, many firms are preparing to significantly ramp up their efforts around the education and training of staff to understand and use AI tools. This is in part motivated by a desire to quickly upskill existing staff, rather than resort to hiring new people with AI credentials. Firms are also keen to raise the baseline level of </w:t>
      </w:r>
      <w:r w:rsidRPr="00170AC2">
        <w:rPr>
          <w:color w:val="172242" w:themeColor="accent1"/>
        </w:rPr>
        <w:lastRenderedPageBreak/>
        <w:t>understanding around AI within their workforces to dispel myths, reduce unwarranted fear, highlight key risks, and begin to facilitate the cultural changes that are associated with new ways of working enabled by AI.</w:t>
      </w:r>
    </w:p>
    <w:p w14:paraId="5AF8D9DC" w14:textId="314FEE46" w:rsidR="005D0A66" w:rsidRPr="008458F4" w:rsidRDefault="009674A9" w:rsidP="008458F4">
      <w:pPr>
        <w:rPr>
          <w:color w:val="172242" w:themeColor="accent1"/>
        </w:rPr>
      </w:pPr>
      <w:r>
        <w:rPr>
          <w:color w:val="172242" w:themeColor="accent1"/>
        </w:rPr>
        <w:t xml:space="preserve">In terms of the key barriers to adoption within the industry, </w:t>
      </w:r>
      <w:r w:rsidR="00073414">
        <w:rPr>
          <w:color w:val="172242" w:themeColor="accent1"/>
        </w:rPr>
        <w:t>these include:</w:t>
      </w:r>
    </w:p>
    <w:p w14:paraId="4DE29CF0" w14:textId="00E15516" w:rsidR="00B90D6A" w:rsidRPr="00B90D6A" w:rsidRDefault="00B90D6A" w:rsidP="00B90D6A">
      <w:pPr>
        <w:pStyle w:val="ListParagraph"/>
        <w:numPr>
          <w:ilvl w:val="0"/>
          <w:numId w:val="57"/>
        </w:numPr>
        <w:spacing w:after="160" w:line="259" w:lineRule="auto"/>
        <w:ind w:left="357" w:hanging="357"/>
        <w:contextualSpacing w:val="0"/>
        <w:rPr>
          <w:color w:val="172242" w:themeColor="accent1"/>
        </w:rPr>
      </w:pPr>
      <w:r w:rsidRPr="00B90D6A">
        <w:rPr>
          <w:b/>
          <w:bCs/>
          <w:color w:val="172242" w:themeColor="accent1"/>
        </w:rPr>
        <w:t>Internal cultural resistance</w:t>
      </w:r>
      <w:r w:rsidRPr="00B90D6A">
        <w:rPr>
          <w:color w:val="172242" w:themeColor="accent1"/>
        </w:rPr>
        <w:t xml:space="preserve">: Perhaps one of the </w:t>
      </w:r>
      <w:r w:rsidR="005A35E0">
        <w:rPr>
          <w:color w:val="172242" w:themeColor="accent1"/>
        </w:rPr>
        <w:t>larger challenges</w:t>
      </w:r>
      <w:r w:rsidRPr="00B90D6A">
        <w:rPr>
          <w:color w:val="172242" w:themeColor="accent1"/>
        </w:rPr>
        <w:t xml:space="preserve"> is the resistance from internal stakeholders that can be encountered. Within an organisation, there will be those who approach AI with excitement and enthusiasm, but there may also be those who look upon it with apprehension, or are reluctant to change.</w:t>
      </w:r>
    </w:p>
    <w:p w14:paraId="29B341DD" w14:textId="77777777" w:rsidR="00B90D6A" w:rsidRPr="001D47B3" w:rsidRDefault="00B90D6A" w:rsidP="001D47B3">
      <w:pPr>
        <w:pStyle w:val="ListParagraph"/>
        <w:numPr>
          <w:ilvl w:val="0"/>
          <w:numId w:val="57"/>
        </w:numPr>
        <w:spacing w:after="160" w:line="259" w:lineRule="auto"/>
        <w:ind w:left="357" w:hanging="357"/>
        <w:contextualSpacing w:val="0"/>
        <w:rPr>
          <w:b/>
          <w:bCs/>
          <w:color w:val="172242" w:themeColor="accent1"/>
        </w:rPr>
      </w:pPr>
      <w:r w:rsidRPr="00B90D6A">
        <w:rPr>
          <w:b/>
          <w:bCs/>
          <w:color w:val="172242" w:themeColor="accent1"/>
        </w:rPr>
        <w:t>Measuring value</w:t>
      </w:r>
      <w:r w:rsidRPr="001D47B3">
        <w:rPr>
          <w:color w:val="172242" w:themeColor="accent1"/>
        </w:rPr>
        <w:t>: Firms are asking themselves how they can measure the success of their AI projects. This could be in terms of the productivity gains, the amount of time saved, the amount of additional work that can now be achieved with the same level of resource, cost savings, and so on. This is an important challenge to address, as ultimately firms will expect a positive return on investment for building AI capabilities, and to be able to demonstrate it in quantifiable terms.</w:t>
      </w:r>
    </w:p>
    <w:p w14:paraId="5DFCE493" w14:textId="1ABCAFDF" w:rsidR="00B90D6A" w:rsidRPr="00B90D6A" w:rsidRDefault="00B90D6A" w:rsidP="00B90D6A">
      <w:pPr>
        <w:pStyle w:val="ListParagraph"/>
        <w:numPr>
          <w:ilvl w:val="0"/>
          <w:numId w:val="57"/>
        </w:numPr>
        <w:spacing w:after="160" w:line="259" w:lineRule="auto"/>
        <w:ind w:left="360"/>
        <w:rPr>
          <w:color w:val="172242" w:themeColor="accent1"/>
        </w:rPr>
      </w:pPr>
      <w:r w:rsidRPr="00B90D6A">
        <w:rPr>
          <w:b/>
          <w:bCs/>
          <w:color w:val="172242" w:themeColor="accent1"/>
        </w:rPr>
        <w:t>Managing AI risks</w:t>
      </w:r>
      <w:r w:rsidRPr="00B90D6A">
        <w:rPr>
          <w:color w:val="172242" w:themeColor="accent1"/>
        </w:rPr>
        <w:t xml:space="preserve">: As a regulated industry, investment management firms have mature risk management frameworks and take this responsibility very seriously. There are numerous risks associated with AI – both novel and those that exacerbate existing risks – which must be controlled as part of a responsible adoption process. </w:t>
      </w:r>
    </w:p>
    <w:p w14:paraId="49D9D35D" w14:textId="77777777" w:rsidR="00B90D6A" w:rsidRPr="00B90D6A" w:rsidRDefault="00B90D6A" w:rsidP="00B90D6A">
      <w:pPr>
        <w:ind w:left="360"/>
        <w:rPr>
          <w:color w:val="172242" w:themeColor="accent1"/>
        </w:rPr>
      </w:pPr>
      <w:r w:rsidRPr="00B90D6A">
        <w:rPr>
          <w:color w:val="172242" w:themeColor="accent1"/>
        </w:rPr>
        <w:t>The probabilistic nature of LLMs presents a challenge for certain applications in investment management. By probabilistic, it is meant that the models, owing to how they work, produce outputs which are not always 100% correct. Instead, outputs have a probability of being correct. This variation is unwelcome in certain applications where traditionally deterministic systems have been used. It also poses a challenge for risk frameworks in how to control for this additional dimension.</w:t>
      </w:r>
    </w:p>
    <w:p w14:paraId="448E6935" w14:textId="77777777" w:rsidR="00B90D6A" w:rsidRPr="00B90D6A" w:rsidRDefault="00B90D6A" w:rsidP="00B90D6A">
      <w:pPr>
        <w:ind w:left="360"/>
        <w:rPr>
          <w:color w:val="172242" w:themeColor="accent1"/>
        </w:rPr>
      </w:pPr>
      <w:r w:rsidRPr="00B90D6A">
        <w:rPr>
          <w:color w:val="172242" w:themeColor="accent1"/>
        </w:rPr>
        <w:t>Self-Supervised Federated AI models that can behave in a deterministic fashion, may offer solutions to this challenge in time. More immediately, firms are adapting control functions to build additional checks and assurance mechanisms over the outputs generated by probabilistic systems to control the risk.</w:t>
      </w:r>
    </w:p>
    <w:p w14:paraId="2666E89A" w14:textId="77777777" w:rsidR="00B90D6A" w:rsidRPr="00B90D6A" w:rsidRDefault="00B90D6A" w:rsidP="00B90D6A">
      <w:pPr>
        <w:ind w:left="360"/>
        <w:rPr>
          <w:color w:val="172242" w:themeColor="accent1"/>
        </w:rPr>
      </w:pPr>
      <w:r w:rsidRPr="00B90D6A">
        <w:rPr>
          <w:color w:val="172242" w:themeColor="accent1"/>
        </w:rPr>
        <w:t>The AI risks can, of course, be reduced to zero by simply not using it. However, firms are mindful that failing to adopt AI is itself a huge risk to future viability.</w:t>
      </w:r>
    </w:p>
    <w:p w14:paraId="54F62752" w14:textId="77777777" w:rsidR="00B90D6A" w:rsidRPr="00B90D6A" w:rsidRDefault="00B90D6A" w:rsidP="00B90D6A">
      <w:pPr>
        <w:pStyle w:val="ListParagraph"/>
        <w:numPr>
          <w:ilvl w:val="0"/>
          <w:numId w:val="57"/>
        </w:numPr>
        <w:spacing w:after="160" w:line="259" w:lineRule="auto"/>
        <w:ind w:left="357"/>
        <w:contextualSpacing w:val="0"/>
        <w:rPr>
          <w:color w:val="172242" w:themeColor="accent1"/>
        </w:rPr>
      </w:pPr>
      <w:r w:rsidRPr="00B90D6A">
        <w:rPr>
          <w:b/>
          <w:bCs/>
          <w:color w:val="172242" w:themeColor="accent1"/>
        </w:rPr>
        <w:t>Technical limitations</w:t>
      </w:r>
      <w:r w:rsidRPr="00B90D6A">
        <w:rPr>
          <w:color w:val="172242" w:themeColor="accent1"/>
        </w:rPr>
        <w:t>: Firms are taking into account the technical limitations of AI models, including well known issues such as the propensity for LLMs to hallucinate, but also constraints on the amount of context that can be provided to models, as well as capacity limitations at the data centres where models are hosted.</w:t>
      </w:r>
    </w:p>
    <w:p w14:paraId="024F6AA8" w14:textId="77777777" w:rsidR="00B90D6A" w:rsidRPr="00B90D6A" w:rsidRDefault="00B90D6A" w:rsidP="00B90D6A">
      <w:pPr>
        <w:pStyle w:val="ListParagraph"/>
        <w:ind w:left="357"/>
        <w:contextualSpacing w:val="0"/>
        <w:rPr>
          <w:color w:val="172242" w:themeColor="accent1"/>
        </w:rPr>
      </w:pPr>
      <w:r w:rsidRPr="00B90D6A">
        <w:rPr>
          <w:color w:val="172242" w:themeColor="accent1"/>
        </w:rPr>
        <w:t>Firms are also acknowledging the types of tasks that generative AI are not yet suited to, such as planning or reasoning.</w:t>
      </w:r>
    </w:p>
    <w:p w14:paraId="3BBB57CB" w14:textId="77777777" w:rsidR="00B90D6A" w:rsidRPr="00B90D6A" w:rsidRDefault="00B90D6A" w:rsidP="00B90D6A">
      <w:pPr>
        <w:pStyle w:val="ListParagraph"/>
        <w:numPr>
          <w:ilvl w:val="0"/>
          <w:numId w:val="57"/>
        </w:numPr>
        <w:spacing w:after="160" w:line="259" w:lineRule="auto"/>
        <w:ind w:left="357"/>
        <w:contextualSpacing w:val="0"/>
        <w:rPr>
          <w:color w:val="172242" w:themeColor="accent1"/>
        </w:rPr>
      </w:pPr>
      <w:r w:rsidRPr="00B90D6A">
        <w:rPr>
          <w:b/>
          <w:bCs/>
          <w:color w:val="172242" w:themeColor="accent1"/>
        </w:rPr>
        <w:t>Cost</w:t>
      </w:r>
      <w:r w:rsidRPr="00B90D6A">
        <w:rPr>
          <w:color w:val="172242" w:themeColor="accent1"/>
        </w:rPr>
        <w:t>: Firms note that the cost of running certain queries can be quite high, particularly in LLMs, with some firms already having put cost monitoring in place. While overall costs are not prohibitively high at this early stage, firms are aware that as AI usage become more widespread which requires increased computing power, costs will increasingly become a key factor.</w:t>
      </w:r>
    </w:p>
    <w:p w14:paraId="47F603E0" w14:textId="77777777" w:rsidR="006E0302" w:rsidRDefault="006E0302" w:rsidP="00817F92">
      <w:pPr>
        <w:jc w:val="both"/>
        <w:rPr>
          <w:color w:val="172242" w:themeColor="accent1"/>
        </w:rPr>
      </w:pPr>
    </w:p>
    <w:p w14:paraId="13DEE001" w14:textId="4952AC42" w:rsidR="00BB4590" w:rsidRPr="00941198" w:rsidRDefault="00BB4590" w:rsidP="00941198">
      <w:pPr>
        <w:spacing w:after="160" w:line="259" w:lineRule="auto"/>
        <w:rPr>
          <w:color w:val="27B88C" w:themeColor="accent2"/>
          <w:sz w:val="28"/>
          <w:szCs w:val="28"/>
        </w:rPr>
      </w:pPr>
      <w:r w:rsidRPr="00BF6BE9">
        <w:rPr>
          <w:color w:val="27B88C" w:themeColor="accent2"/>
          <w:sz w:val="28"/>
          <w:szCs w:val="28"/>
        </w:rPr>
        <w:t>What are the risks to financial stability arising from AI and how can they be mitigated?</w:t>
      </w:r>
    </w:p>
    <w:p w14:paraId="77F8EC66" w14:textId="64BAD83B" w:rsidR="00AE0B3B" w:rsidRPr="0044526F" w:rsidRDefault="00DC70A6" w:rsidP="0044526F">
      <w:pPr>
        <w:jc w:val="both"/>
        <w:rPr>
          <w:color w:val="172242" w:themeColor="accent1"/>
        </w:rPr>
      </w:pPr>
      <w:r>
        <w:rPr>
          <w:color w:val="172242" w:themeColor="accent1"/>
        </w:rPr>
        <w:lastRenderedPageBreak/>
        <w:t>In t</w:t>
      </w:r>
      <w:r w:rsidR="00AE0B3B">
        <w:rPr>
          <w:color w:val="172242" w:themeColor="accent1"/>
        </w:rPr>
        <w:t>he below tables</w:t>
      </w:r>
      <w:r w:rsidR="00733165">
        <w:rPr>
          <w:color w:val="172242" w:themeColor="accent1"/>
        </w:rPr>
        <w:t xml:space="preserve"> we</w:t>
      </w:r>
      <w:r w:rsidR="00AE0B3B">
        <w:rPr>
          <w:color w:val="172242" w:themeColor="accent1"/>
        </w:rPr>
        <w:t xml:space="preserve"> group</w:t>
      </w:r>
      <w:r w:rsidR="00CF25DD">
        <w:rPr>
          <w:color w:val="172242" w:themeColor="accent1"/>
        </w:rPr>
        <w:t xml:space="preserve"> key</w:t>
      </w:r>
      <w:r w:rsidR="0044526F">
        <w:rPr>
          <w:color w:val="172242" w:themeColor="accent1"/>
        </w:rPr>
        <w:t xml:space="preserve"> AI related risks into three areas</w:t>
      </w:r>
      <w:r w:rsidR="00CF25DD">
        <w:rPr>
          <w:color w:val="172242" w:themeColor="accent1"/>
        </w:rPr>
        <w:t xml:space="preserve"> (</w:t>
      </w:r>
      <w:r w:rsidR="00AE0B3B" w:rsidRPr="00733165">
        <w:rPr>
          <w:color w:val="172242" w:themeColor="accent1"/>
        </w:rPr>
        <w:t>risks arising from the data and AI model itself; risks arising from external factors; and issues arising from inside the firm</w:t>
      </w:r>
      <w:r w:rsidR="00CF25DD">
        <w:rPr>
          <w:color w:val="172242" w:themeColor="accent1"/>
        </w:rPr>
        <w:t>) along with potential</w:t>
      </w:r>
      <w:r w:rsidR="00D201D1">
        <w:rPr>
          <w:color w:val="172242" w:themeColor="accent1"/>
        </w:rPr>
        <w:t xml:space="preserve"> mitigants.</w:t>
      </w:r>
    </w:p>
    <w:p w14:paraId="78384DE4" w14:textId="77777777" w:rsidR="00AE0B3B" w:rsidRDefault="00AE0B3B" w:rsidP="00AE0B3B"/>
    <w:p w14:paraId="2391F334" w14:textId="77777777" w:rsidR="00AE0B3B" w:rsidRPr="003273E0" w:rsidRDefault="00AE0B3B" w:rsidP="00AE0B3B">
      <w:pPr>
        <w:pStyle w:val="Heading2"/>
        <w:spacing w:before="120"/>
        <w:rPr>
          <w:color w:val="172242" w:themeColor="accent1"/>
        </w:rPr>
      </w:pPr>
      <w:bookmarkStart w:id="0" w:name="_Toc174543847"/>
      <w:bookmarkStart w:id="1" w:name="_Toc178340181"/>
      <w:r w:rsidRPr="003273E0">
        <w:rPr>
          <w:color w:val="172242" w:themeColor="accent1"/>
        </w:rPr>
        <w:t>1. Data and AI model risks</w:t>
      </w:r>
      <w:bookmarkEnd w:id="0"/>
      <w:bookmarkEnd w:id="1"/>
    </w:p>
    <w:tbl>
      <w:tblPr>
        <w:tblStyle w:val="TableGrid"/>
        <w:tblW w:w="9634" w:type="dxa"/>
        <w:tblLayout w:type="fixed"/>
        <w:tblLook w:val="04A0" w:firstRow="1" w:lastRow="0" w:firstColumn="1" w:lastColumn="0" w:noHBand="0" w:noVBand="1"/>
      </w:tblPr>
      <w:tblGrid>
        <w:gridCol w:w="1413"/>
        <w:gridCol w:w="2126"/>
        <w:gridCol w:w="6095"/>
      </w:tblGrid>
      <w:tr w:rsidR="003273E0" w:rsidRPr="003273E0" w14:paraId="2D160822" w14:textId="77777777" w:rsidTr="00280231">
        <w:tc>
          <w:tcPr>
            <w:tcW w:w="1413" w:type="dxa"/>
          </w:tcPr>
          <w:p w14:paraId="312BC5F8" w14:textId="77777777" w:rsidR="00AE0B3B" w:rsidRPr="003273E0" w:rsidRDefault="00AE0B3B" w:rsidP="00847DA5">
            <w:pPr>
              <w:rPr>
                <w:b/>
                <w:bCs/>
                <w:color w:val="172242" w:themeColor="accent1"/>
              </w:rPr>
            </w:pPr>
            <w:r w:rsidRPr="003273E0">
              <w:rPr>
                <w:b/>
                <w:bCs/>
                <w:color w:val="172242" w:themeColor="accent1"/>
              </w:rPr>
              <w:t>Item</w:t>
            </w:r>
          </w:p>
        </w:tc>
        <w:tc>
          <w:tcPr>
            <w:tcW w:w="2126" w:type="dxa"/>
          </w:tcPr>
          <w:p w14:paraId="775677C8" w14:textId="77777777" w:rsidR="00AE0B3B" w:rsidRPr="003273E0" w:rsidRDefault="00AE0B3B" w:rsidP="00847DA5">
            <w:pPr>
              <w:rPr>
                <w:b/>
                <w:bCs/>
                <w:color w:val="172242" w:themeColor="accent1"/>
              </w:rPr>
            </w:pPr>
            <w:r w:rsidRPr="003273E0">
              <w:rPr>
                <w:b/>
                <w:bCs/>
                <w:color w:val="172242" w:themeColor="accent1"/>
              </w:rPr>
              <w:t>Description</w:t>
            </w:r>
          </w:p>
        </w:tc>
        <w:tc>
          <w:tcPr>
            <w:tcW w:w="6095" w:type="dxa"/>
          </w:tcPr>
          <w:p w14:paraId="4B3E38CE" w14:textId="77777777" w:rsidR="00AE0B3B" w:rsidRPr="003273E0" w:rsidRDefault="00AE0B3B" w:rsidP="00847DA5">
            <w:pPr>
              <w:rPr>
                <w:b/>
                <w:bCs/>
                <w:color w:val="172242" w:themeColor="accent1"/>
              </w:rPr>
            </w:pPr>
            <w:r w:rsidRPr="003273E0">
              <w:rPr>
                <w:b/>
                <w:bCs/>
                <w:color w:val="172242" w:themeColor="accent1"/>
              </w:rPr>
              <w:t>Potential mitigants</w:t>
            </w:r>
          </w:p>
        </w:tc>
      </w:tr>
      <w:tr w:rsidR="003273E0" w:rsidRPr="003273E0" w14:paraId="442A1893" w14:textId="77777777" w:rsidTr="00280231">
        <w:tc>
          <w:tcPr>
            <w:tcW w:w="1413" w:type="dxa"/>
          </w:tcPr>
          <w:p w14:paraId="4142DD43" w14:textId="77777777" w:rsidR="00AE0B3B" w:rsidRPr="003273E0" w:rsidRDefault="00AE0B3B" w:rsidP="00847DA5">
            <w:pPr>
              <w:rPr>
                <w:color w:val="172242" w:themeColor="accent1"/>
              </w:rPr>
            </w:pPr>
            <w:r w:rsidRPr="003273E0">
              <w:rPr>
                <w:color w:val="172242" w:themeColor="accent1"/>
              </w:rPr>
              <w:t>Inaccurate or insufficient data quality</w:t>
            </w:r>
          </w:p>
        </w:tc>
        <w:tc>
          <w:tcPr>
            <w:tcW w:w="2126" w:type="dxa"/>
          </w:tcPr>
          <w:p w14:paraId="3D2F362C" w14:textId="77777777" w:rsidR="00AE0B3B" w:rsidRPr="003273E0" w:rsidRDefault="00AE0B3B" w:rsidP="00847DA5">
            <w:pPr>
              <w:rPr>
                <w:color w:val="172242" w:themeColor="accent1"/>
              </w:rPr>
            </w:pPr>
            <w:r w:rsidRPr="003273E0">
              <w:rPr>
                <w:color w:val="172242" w:themeColor="accent1"/>
              </w:rPr>
              <w:t>Risk that AI systems rely on outdated or misleading data, leading to inaccurate outputs.</w:t>
            </w:r>
          </w:p>
          <w:p w14:paraId="573DFFDD" w14:textId="77777777" w:rsidR="00AE0B3B" w:rsidRPr="003273E0" w:rsidRDefault="00AE0B3B" w:rsidP="00847DA5">
            <w:pPr>
              <w:rPr>
                <w:color w:val="172242" w:themeColor="accent1"/>
              </w:rPr>
            </w:pPr>
          </w:p>
        </w:tc>
        <w:tc>
          <w:tcPr>
            <w:tcW w:w="6095" w:type="dxa"/>
            <w:vMerge w:val="restart"/>
          </w:tcPr>
          <w:p w14:paraId="008D9EE0"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Creating controls and safeguards</w:t>
            </w:r>
            <w:r w:rsidRPr="003273E0">
              <w:rPr>
                <w:color w:val="172242" w:themeColor="accent1"/>
              </w:rPr>
              <w:t>:</w:t>
            </w:r>
            <w:r w:rsidRPr="003273E0">
              <w:rPr>
                <w:rFonts w:ascii="Roboto" w:hAnsi="Roboto"/>
                <w:color w:val="172242" w:themeColor="accent1"/>
                <w:sz w:val="21"/>
                <w:szCs w:val="21"/>
                <w:shd w:val="clear" w:color="auto" w:fill="F3F3F3"/>
              </w:rPr>
              <w:t xml:space="preserve"> </w:t>
            </w:r>
            <w:r w:rsidRPr="003273E0">
              <w:rPr>
                <w:color w:val="172242" w:themeColor="accent1"/>
              </w:rPr>
              <w:t>Organisations should actively identify and manage AI risks by integrating business-minded legal and risk management teams early in the AI development process. </w:t>
            </w:r>
            <w:hyperlink r:id="rId11" w:tgtFrame="_blank" w:history="1">
              <w:r w:rsidRPr="003273E0">
                <w:rPr>
                  <w:rStyle w:val="Hyperlink"/>
                  <w:color w:val="172242" w:themeColor="accent1"/>
                </w:rPr>
                <w:t>This approach ensures models conform to social norms and legal requirements while delivering maximum business value</w:t>
              </w:r>
            </w:hyperlink>
            <w:r w:rsidRPr="003273E0">
              <w:rPr>
                <w:color w:val="172242" w:themeColor="accent1"/>
              </w:rPr>
              <w:t xml:space="preserve">. </w:t>
            </w:r>
          </w:p>
          <w:p w14:paraId="5414A5D4"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Transparent and explainable AI</w:t>
            </w:r>
            <w:r w:rsidRPr="003273E0">
              <w:rPr>
                <w:color w:val="172242" w:themeColor="accent1"/>
              </w:rPr>
              <w:t>: Developing AI systems that are appropriately transparent and explainable can mitigate risks associated with black-box models. </w:t>
            </w:r>
            <w:hyperlink r:id="rId12" w:tgtFrame="_blank" w:history="1">
              <w:r w:rsidRPr="003273E0">
                <w:rPr>
                  <w:rStyle w:val="Hyperlink"/>
                  <w:color w:val="172242" w:themeColor="accent1"/>
                </w:rPr>
                <w:t>This transparency allows for better understanding and trust in AI decisions, making it easier to identify and rectify potential issues</w:t>
              </w:r>
            </w:hyperlink>
            <w:r w:rsidRPr="003273E0">
              <w:rPr>
                <w:color w:val="172242" w:themeColor="accent1"/>
              </w:rPr>
              <w:t xml:space="preserve">. An explainable model ensures better review mechanisms which can help ensure human oversight and verification. </w:t>
            </w:r>
          </w:p>
          <w:p w14:paraId="372AA789"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Scope control:</w:t>
            </w:r>
            <w:r w:rsidRPr="003273E0">
              <w:rPr>
                <w:color w:val="172242" w:themeColor="accent1"/>
              </w:rPr>
              <w:t xml:space="preserve"> Understand and appropriately restrict the dataset on which the AI model is functioning. A model that utilises data from the internet is likely to be more creative and generalist than one with the scope to refer to a carefully crafted set of internal documents.</w:t>
            </w:r>
          </w:p>
          <w:p w14:paraId="7A69F8D3"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Data Verification Procedures</w:t>
            </w:r>
            <w:r w:rsidRPr="003273E0">
              <w:rPr>
                <w:color w:val="172242" w:themeColor="accent1"/>
              </w:rPr>
              <w:t>: Establishing robust data verification procedures is crucial. </w:t>
            </w:r>
            <w:hyperlink r:id="rId13" w:tgtFrame="_blank" w:history="1">
              <w:r w:rsidRPr="003273E0">
                <w:rPr>
                  <w:rStyle w:val="Hyperlink"/>
                  <w:color w:val="172242" w:themeColor="accent1"/>
                </w:rPr>
                <w:t>This includes data quality checks, validation techniques, and data cleaning methods to maintain consistency throughout the AI development process</w:t>
              </w:r>
            </w:hyperlink>
            <w:r w:rsidRPr="003273E0">
              <w:rPr>
                <w:color w:val="172242" w:themeColor="accent1"/>
              </w:rPr>
              <w:t xml:space="preserve">. This may include regularly updating and validating the data used by the AI system to ensure its accuracy and relevance as well as using multiple sources of data to cross-validate and corroborate information. </w:t>
            </w:r>
          </w:p>
          <w:p w14:paraId="4E7BB07C"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Third party checks</w:t>
            </w:r>
            <w:r w:rsidRPr="003273E0">
              <w:rPr>
                <w:color w:val="172242" w:themeColor="accent1"/>
              </w:rPr>
              <w:t>: To ensure a more rounded mitigation process and checks, it is critical to conduct thorough due diligence on third-party AI providers’ compliance and also enter into legal arrangements to clearly outline obligations and to ensure accountability.</w:t>
            </w:r>
          </w:p>
          <w:p w14:paraId="7A2E6C5F"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Thorough review and collaboration</w:t>
            </w:r>
            <w:r w:rsidRPr="003273E0">
              <w:rPr>
                <w:color w:val="172242" w:themeColor="accent1"/>
              </w:rPr>
              <w:t>: In addition to implementing the right controls, it is important that firms regularly review and audit that their AI models are operating as intended. Further, in carrying out these checks, it is essential that firms collaborate with industry peers as well as regulators to develop and promote best practices for managing risks including but not limited to AI explainability and transparency.</w:t>
            </w:r>
          </w:p>
          <w:p w14:paraId="620064DB"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Clear Disclosure Guidelines</w:t>
            </w:r>
            <w:r w:rsidRPr="003273E0">
              <w:rPr>
                <w:color w:val="172242" w:themeColor="accent1"/>
              </w:rPr>
              <w:t xml:space="preserve">: Firms should exercise caution in using AI and particularly from a legal and transparency perspective, be careful to ensure disclosure of the use of AI </w:t>
            </w:r>
            <w:r w:rsidRPr="003273E0">
              <w:rPr>
                <w:color w:val="172242" w:themeColor="accent1"/>
              </w:rPr>
              <w:lastRenderedPageBreak/>
              <w:t>within offering documents, fund prospectuses, website disclaimers to ensure consumers are informed of the uses and extent of AI involvement in data processing.</w:t>
            </w:r>
          </w:p>
        </w:tc>
      </w:tr>
      <w:tr w:rsidR="003273E0" w:rsidRPr="003273E0" w14:paraId="53581EFF" w14:textId="77777777" w:rsidTr="00280231">
        <w:tc>
          <w:tcPr>
            <w:tcW w:w="1413" w:type="dxa"/>
          </w:tcPr>
          <w:p w14:paraId="1DFD9247" w14:textId="77777777" w:rsidR="00AE0B3B" w:rsidRPr="003273E0" w:rsidRDefault="00AE0B3B" w:rsidP="00847DA5">
            <w:pPr>
              <w:rPr>
                <w:color w:val="172242" w:themeColor="accent1"/>
              </w:rPr>
            </w:pPr>
            <w:r w:rsidRPr="003273E0">
              <w:rPr>
                <w:color w:val="172242" w:themeColor="accent1"/>
              </w:rPr>
              <w:t>Hallucination</w:t>
            </w:r>
          </w:p>
        </w:tc>
        <w:tc>
          <w:tcPr>
            <w:tcW w:w="2126" w:type="dxa"/>
          </w:tcPr>
          <w:p w14:paraId="23E15D3A" w14:textId="77777777" w:rsidR="00AE0B3B" w:rsidRPr="003273E0" w:rsidRDefault="00AE0B3B" w:rsidP="00847DA5">
            <w:pPr>
              <w:rPr>
                <w:color w:val="172242" w:themeColor="accent1"/>
              </w:rPr>
            </w:pPr>
            <w:r w:rsidRPr="003273E0">
              <w:rPr>
                <w:color w:val="172242" w:themeColor="accent1"/>
              </w:rPr>
              <w:t>Risk of LLMs producing plausible sounding but incorrect outputs.</w:t>
            </w:r>
          </w:p>
          <w:p w14:paraId="17C22CBA" w14:textId="77777777" w:rsidR="00AE0B3B" w:rsidRPr="003273E0" w:rsidRDefault="00AE0B3B" w:rsidP="00847DA5">
            <w:pPr>
              <w:rPr>
                <w:color w:val="172242" w:themeColor="accent1"/>
              </w:rPr>
            </w:pPr>
          </w:p>
        </w:tc>
        <w:tc>
          <w:tcPr>
            <w:tcW w:w="6095" w:type="dxa"/>
            <w:vMerge/>
          </w:tcPr>
          <w:p w14:paraId="0F3A86F5" w14:textId="77777777" w:rsidR="00AE0B3B" w:rsidRPr="003273E0" w:rsidRDefault="00AE0B3B" w:rsidP="00847DA5">
            <w:pPr>
              <w:rPr>
                <w:color w:val="172242" w:themeColor="accent1"/>
              </w:rPr>
            </w:pPr>
          </w:p>
        </w:tc>
      </w:tr>
      <w:tr w:rsidR="003273E0" w:rsidRPr="003273E0" w14:paraId="31428F9C" w14:textId="77777777" w:rsidTr="00280231">
        <w:tc>
          <w:tcPr>
            <w:tcW w:w="1413" w:type="dxa"/>
          </w:tcPr>
          <w:p w14:paraId="76AA0D1A" w14:textId="77777777" w:rsidR="00AE0B3B" w:rsidRPr="003273E0" w:rsidRDefault="00AE0B3B" w:rsidP="00847DA5">
            <w:pPr>
              <w:rPr>
                <w:color w:val="172242" w:themeColor="accent1"/>
              </w:rPr>
            </w:pPr>
            <w:r w:rsidRPr="003273E0">
              <w:rPr>
                <w:color w:val="172242" w:themeColor="accent1"/>
              </w:rPr>
              <w:t>Probabilistic nature of AI models</w:t>
            </w:r>
          </w:p>
        </w:tc>
        <w:tc>
          <w:tcPr>
            <w:tcW w:w="2126" w:type="dxa"/>
          </w:tcPr>
          <w:p w14:paraId="74C590EF" w14:textId="77777777" w:rsidR="00AE0B3B" w:rsidRPr="003273E0" w:rsidRDefault="00AE0B3B" w:rsidP="00847DA5">
            <w:pPr>
              <w:rPr>
                <w:color w:val="172242" w:themeColor="accent1"/>
              </w:rPr>
            </w:pPr>
            <w:r w:rsidRPr="003273E0">
              <w:rPr>
                <w:color w:val="172242" w:themeColor="accent1"/>
              </w:rPr>
              <w:t>LLM outputs are probabilistic in nature rather than deterministic.</w:t>
            </w:r>
          </w:p>
          <w:p w14:paraId="5A560FA4" w14:textId="77777777" w:rsidR="00AE0B3B" w:rsidRPr="003273E0" w:rsidRDefault="00AE0B3B" w:rsidP="00847DA5">
            <w:pPr>
              <w:rPr>
                <w:color w:val="172242" w:themeColor="accent1"/>
              </w:rPr>
            </w:pPr>
          </w:p>
        </w:tc>
        <w:tc>
          <w:tcPr>
            <w:tcW w:w="6095" w:type="dxa"/>
            <w:vMerge/>
          </w:tcPr>
          <w:p w14:paraId="32A2F94B" w14:textId="77777777" w:rsidR="00AE0B3B" w:rsidRPr="003273E0" w:rsidRDefault="00AE0B3B" w:rsidP="00847DA5">
            <w:pPr>
              <w:rPr>
                <w:color w:val="172242" w:themeColor="accent1"/>
              </w:rPr>
            </w:pPr>
          </w:p>
        </w:tc>
      </w:tr>
      <w:tr w:rsidR="003273E0" w:rsidRPr="003273E0" w14:paraId="6E9215F9" w14:textId="77777777" w:rsidTr="00280231">
        <w:tc>
          <w:tcPr>
            <w:tcW w:w="1413" w:type="dxa"/>
          </w:tcPr>
          <w:p w14:paraId="618C1396" w14:textId="77777777" w:rsidR="00AE0B3B" w:rsidRPr="003273E0" w:rsidRDefault="00AE0B3B" w:rsidP="00847DA5">
            <w:pPr>
              <w:rPr>
                <w:color w:val="172242" w:themeColor="accent1"/>
              </w:rPr>
            </w:pPr>
            <w:r w:rsidRPr="003273E0">
              <w:rPr>
                <w:color w:val="172242" w:themeColor="accent1"/>
              </w:rPr>
              <w:t>AI model drift</w:t>
            </w:r>
          </w:p>
        </w:tc>
        <w:tc>
          <w:tcPr>
            <w:tcW w:w="2126" w:type="dxa"/>
          </w:tcPr>
          <w:p w14:paraId="55D83902" w14:textId="77777777" w:rsidR="00AE0B3B" w:rsidRPr="003273E0" w:rsidRDefault="00AE0B3B" w:rsidP="00847DA5">
            <w:pPr>
              <w:rPr>
                <w:color w:val="172242" w:themeColor="accent1"/>
              </w:rPr>
            </w:pPr>
            <w:r w:rsidRPr="003273E0">
              <w:rPr>
                <w:color w:val="172242" w:themeColor="accent1"/>
              </w:rPr>
              <w:t>Risk that models may become less accurate over time.</w:t>
            </w:r>
          </w:p>
          <w:p w14:paraId="630FE18F" w14:textId="77777777" w:rsidR="00AE0B3B" w:rsidRPr="003273E0" w:rsidRDefault="00AE0B3B" w:rsidP="00847DA5">
            <w:pPr>
              <w:rPr>
                <w:color w:val="172242" w:themeColor="accent1"/>
              </w:rPr>
            </w:pPr>
          </w:p>
        </w:tc>
        <w:tc>
          <w:tcPr>
            <w:tcW w:w="6095" w:type="dxa"/>
            <w:vMerge/>
          </w:tcPr>
          <w:p w14:paraId="734D1100" w14:textId="77777777" w:rsidR="00AE0B3B" w:rsidRPr="003273E0" w:rsidRDefault="00AE0B3B" w:rsidP="00847DA5">
            <w:pPr>
              <w:rPr>
                <w:color w:val="172242" w:themeColor="accent1"/>
              </w:rPr>
            </w:pPr>
          </w:p>
        </w:tc>
      </w:tr>
      <w:tr w:rsidR="003273E0" w:rsidRPr="003273E0" w14:paraId="4D988A9C" w14:textId="77777777" w:rsidTr="00280231">
        <w:tc>
          <w:tcPr>
            <w:tcW w:w="1413" w:type="dxa"/>
          </w:tcPr>
          <w:p w14:paraId="7561DDBA" w14:textId="77777777" w:rsidR="00AE0B3B" w:rsidRPr="003273E0" w:rsidRDefault="00AE0B3B" w:rsidP="00847DA5">
            <w:pPr>
              <w:rPr>
                <w:color w:val="172242" w:themeColor="accent1"/>
              </w:rPr>
            </w:pPr>
            <w:r w:rsidRPr="003273E0">
              <w:rPr>
                <w:color w:val="172242" w:themeColor="accent1"/>
              </w:rPr>
              <w:t>Privacy violations</w:t>
            </w:r>
          </w:p>
        </w:tc>
        <w:tc>
          <w:tcPr>
            <w:tcW w:w="2126" w:type="dxa"/>
          </w:tcPr>
          <w:p w14:paraId="4684148B" w14:textId="77777777" w:rsidR="00AE0B3B" w:rsidRPr="003273E0" w:rsidRDefault="00AE0B3B" w:rsidP="00847DA5">
            <w:pPr>
              <w:rPr>
                <w:color w:val="172242" w:themeColor="accent1"/>
              </w:rPr>
            </w:pPr>
            <w:r w:rsidRPr="003273E0">
              <w:rPr>
                <w:color w:val="172242" w:themeColor="accent1"/>
              </w:rPr>
              <w:t>Risk that external AI models may collect and misuse proprietary or personal data.</w:t>
            </w:r>
          </w:p>
          <w:p w14:paraId="5414E898" w14:textId="77777777" w:rsidR="00AE0B3B" w:rsidRPr="003273E0" w:rsidRDefault="00AE0B3B" w:rsidP="00847DA5">
            <w:pPr>
              <w:rPr>
                <w:color w:val="172242" w:themeColor="accent1"/>
              </w:rPr>
            </w:pPr>
          </w:p>
        </w:tc>
        <w:tc>
          <w:tcPr>
            <w:tcW w:w="6095" w:type="dxa"/>
            <w:vMerge/>
          </w:tcPr>
          <w:p w14:paraId="412BEFBA" w14:textId="77777777" w:rsidR="00AE0B3B" w:rsidRPr="003273E0" w:rsidRDefault="00AE0B3B" w:rsidP="00847DA5">
            <w:pPr>
              <w:rPr>
                <w:color w:val="172242" w:themeColor="accent1"/>
              </w:rPr>
            </w:pPr>
          </w:p>
        </w:tc>
      </w:tr>
      <w:tr w:rsidR="003273E0" w:rsidRPr="003273E0" w14:paraId="77C13258" w14:textId="77777777" w:rsidTr="00280231">
        <w:tc>
          <w:tcPr>
            <w:tcW w:w="1413" w:type="dxa"/>
          </w:tcPr>
          <w:p w14:paraId="700A6CEB" w14:textId="77777777" w:rsidR="00AE0B3B" w:rsidRPr="003273E0" w:rsidRDefault="00AE0B3B" w:rsidP="00847DA5">
            <w:pPr>
              <w:rPr>
                <w:color w:val="172242" w:themeColor="accent1"/>
              </w:rPr>
            </w:pPr>
            <w:r w:rsidRPr="003273E0">
              <w:rPr>
                <w:color w:val="172242" w:themeColor="accent1"/>
              </w:rPr>
              <w:t>Lack of appropriate explainability</w:t>
            </w:r>
          </w:p>
        </w:tc>
        <w:tc>
          <w:tcPr>
            <w:tcW w:w="2126" w:type="dxa"/>
          </w:tcPr>
          <w:p w14:paraId="5B0162F0" w14:textId="77777777" w:rsidR="00AE0B3B" w:rsidRPr="003273E0" w:rsidRDefault="00AE0B3B" w:rsidP="00847DA5">
            <w:pPr>
              <w:rPr>
                <w:color w:val="172242" w:themeColor="accent1"/>
              </w:rPr>
            </w:pPr>
            <w:r w:rsidRPr="003273E0">
              <w:rPr>
                <w:color w:val="172242" w:themeColor="accent1"/>
              </w:rPr>
              <w:t>Risk that AI models are complex and that the firm is then unable to demonstrate how decisions are made.</w:t>
            </w:r>
          </w:p>
          <w:p w14:paraId="5F3D7CDC" w14:textId="77777777" w:rsidR="00AE0B3B" w:rsidRPr="003273E0" w:rsidRDefault="00AE0B3B" w:rsidP="00847DA5">
            <w:pPr>
              <w:rPr>
                <w:color w:val="172242" w:themeColor="accent1"/>
              </w:rPr>
            </w:pPr>
          </w:p>
        </w:tc>
        <w:tc>
          <w:tcPr>
            <w:tcW w:w="6095" w:type="dxa"/>
            <w:vMerge/>
          </w:tcPr>
          <w:p w14:paraId="54EBDE6F" w14:textId="77777777" w:rsidR="00AE0B3B" w:rsidRPr="003273E0" w:rsidRDefault="00AE0B3B" w:rsidP="00847DA5">
            <w:pPr>
              <w:rPr>
                <w:color w:val="172242" w:themeColor="accent1"/>
              </w:rPr>
            </w:pPr>
          </w:p>
        </w:tc>
      </w:tr>
      <w:tr w:rsidR="003273E0" w:rsidRPr="003273E0" w14:paraId="0FAC822A" w14:textId="77777777" w:rsidTr="00280231">
        <w:tc>
          <w:tcPr>
            <w:tcW w:w="1413" w:type="dxa"/>
          </w:tcPr>
          <w:p w14:paraId="49B55AFF" w14:textId="77777777" w:rsidR="00AE0B3B" w:rsidRPr="003273E0" w:rsidRDefault="00AE0B3B" w:rsidP="00847DA5">
            <w:pPr>
              <w:rPr>
                <w:color w:val="172242" w:themeColor="accent1"/>
              </w:rPr>
            </w:pPr>
            <w:r w:rsidRPr="003273E0">
              <w:rPr>
                <w:color w:val="172242" w:themeColor="accent1"/>
              </w:rPr>
              <w:t>Bias</w:t>
            </w:r>
          </w:p>
        </w:tc>
        <w:tc>
          <w:tcPr>
            <w:tcW w:w="2126" w:type="dxa"/>
          </w:tcPr>
          <w:p w14:paraId="4D70BA62" w14:textId="77777777" w:rsidR="00AE0B3B" w:rsidRPr="003273E0" w:rsidRDefault="00AE0B3B" w:rsidP="00847DA5">
            <w:pPr>
              <w:rPr>
                <w:color w:val="172242" w:themeColor="accent1"/>
              </w:rPr>
            </w:pPr>
            <w:r w:rsidRPr="003273E0">
              <w:rPr>
                <w:color w:val="172242" w:themeColor="accent1"/>
              </w:rPr>
              <w:t>Risks that AI models amplify any bias in the data and discriminate towards or away from a particular group of people or a specific outcome.</w:t>
            </w:r>
          </w:p>
          <w:p w14:paraId="78AB21F5" w14:textId="77777777" w:rsidR="00AE0B3B" w:rsidRPr="003273E0" w:rsidRDefault="00AE0B3B" w:rsidP="00847DA5">
            <w:pPr>
              <w:rPr>
                <w:color w:val="172242" w:themeColor="accent1"/>
              </w:rPr>
            </w:pPr>
          </w:p>
        </w:tc>
        <w:tc>
          <w:tcPr>
            <w:tcW w:w="6095" w:type="dxa"/>
            <w:vMerge/>
          </w:tcPr>
          <w:p w14:paraId="5842A478" w14:textId="77777777" w:rsidR="00AE0B3B" w:rsidRPr="003273E0" w:rsidRDefault="00AE0B3B" w:rsidP="00847DA5">
            <w:pPr>
              <w:rPr>
                <w:color w:val="172242" w:themeColor="accent1"/>
              </w:rPr>
            </w:pPr>
          </w:p>
        </w:tc>
      </w:tr>
      <w:tr w:rsidR="003273E0" w:rsidRPr="003273E0" w14:paraId="2337AB17" w14:textId="77777777" w:rsidTr="00280231">
        <w:tc>
          <w:tcPr>
            <w:tcW w:w="1413" w:type="dxa"/>
          </w:tcPr>
          <w:p w14:paraId="680A2E51" w14:textId="77777777" w:rsidR="00AE0B3B" w:rsidRPr="003273E0" w:rsidRDefault="00AE0B3B" w:rsidP="00847DA5">
            <w:pPr>
              <w:rPr>
                <w:color w:val="172242" w:themeColor="accent1"/>
              </w:rPr>
            </w:pPr>
            <w:r w:rsidRPr="003273E0">
              <w:rPr>
                <w:color w:val="172242" w:themeColor="accent1"/>
              </w:rPr>
              <w:lastRenderedPageBreak/>
              <w:t>Disclosure of use</w:t>
            </w:r>
          </w:p>
        </w:tc>
        <w:tc>
          <w:tcPr>
            <w:tcW w:w="2126" w:type="dxa"/>
          </w:tcPr>
          <w:p w14:paraId="699FC7F1" w14:textId="77777777" w:rsidR="00AE0B3B" w:rsidRPr="003273E0" w:rsidRDefault="00AE0B3B" w:rsidP="00847DA5">
            <w:pPr>
              <w:rPr>
                <w:color w:val="172242" w:themeColor="accent1"/>
                <w:highlight w:val="yellow"/>
              </w:rPr>
            </w:pPr>
            <w:r w:rsidRPr="003273E0">
              <w:rPr>
                <w:color w:val="172242" w:themeColor="accent1"/>
              </w:rPr>
              <w:t>Risk that consumers are not informed that AI has been used in processing their data / providing an output to them</w:t>
            </w:r>
          </w:p>
        </w:tc>
        <w:tc>
          <w:tcPr>
            <w:tcW w:w="6095" w:type="dxa"/>
            <w:vMerge/>
          </w:tcPr>
          <w:p w14:paraId="31C665AF" w14:textId="77777777" w:rsidR="00AE0B3B" w:rsidRPr="003273E0" w:rsidRDefault="00AE0B3B" w:rsidP="00847DA5">
            <w:pPr>
              <w:rPr>
                <w:color w:val="172242" w:themeColor="accent1"/>
              </w:rPr>
            </w:pPr>
          </w:p>
        </w:tc>
      </w:tr>
    </w:tbl>
    <w:p w14:paraId="29AB53E5" w14:textId="77777777" w:rsidR="00AE0B3B" w:rsidRDefault="00AE0B3B" w:rsidP="00AE0B3B"/>
    <w:p w14:paraId="2CBE370F" w14:textId="77777777" w:rsidR="00AE0B3B" w:rsidRPr="003273E0" w:rsidRDefault="00AE0B3B" w:rsidP="00AE0B3B">
      <w:pPr>
        <w:pStyle w:val="Heading2"/>
        <w:spacing w:before="120"/>
        <w:rPr>
          <w:color w:val="172242" w:themeColor="accent1"/>
        </w:rPr>
      </w:pPr>
      <w:bookmarkStart w:id="2" w:name="_Toc174543848"/>
      <w:bookmarkStart w:id="3" w:name="_Toc178340182"/>
      <w:r w:rsidRPr="003273E0">
        <w:rPr>
          <w:color w:val="172242" w:themeColor="accent1"/>
        </w:rPr>
        <w:t>2. External risks</w:t>
      </w:r>
      <w:bookmarkEnd w:id="2"/>
      <w:bookmarkEnd w:id="3"/>
    </w:p>
    <w:tbl>
      <w:tblPr>
        <w:tblStyle w:val="TableGrid"/>
        <w:tblW w:w="9067" w:type="dxa"/>
        <w:tblLook w:val="04A0" w:firstRow="1" w:lastRow="0" w:firstColumn="1" w:lastColumn="0" w:noHBand="0" w:noVBand="1"/>
      </w:tblPr>
      <w:tblGrid>
        <w:gridCol w:w="1406"/>
        <w:gridCol w:w="2136"/>
        <w:gridCol w:w="5525"/>
      </w:tblGrid>
      <w:tr w:rsidR="003273E0" w:rsidRPr="003273E0" w14:paraId="759A37E9" w14:textId="77777777" w:rsidTr="00847DA5">
        <w:tc>
          <w:tcPr>
            <w:tcW w:w="1403" w:type="dxa"/>
          </w:tcPr>
          <w:p w14:paraId="1852FD23" w14:textId="77777777" w:rsidR="00AE0B3B" w:rsidRPr="003273E0" w:rsidRDefault="00AE0B3B" w:rsidP="00847DA5">
            <w:pPr>
              <w:rPr>
                <w:color w:val="172242" w:themeColor="accent1"/>
              </w:rPr>
            </w:pPr>
            <w:r w:rsidRPr="003273E0">
              <w:rPr>
                <w:color w:val="172242" w:themeColor="accent1"/>
              </w:rPr>
              <w:t>Data loss</w:t>
            </w:r>
          </w:p>
        </w:tc>
        <w:tc>
          <w:tcPr>
            <w:tcW w:w="2136" w:type="dxa"/>
          </w:tcPr>
          <w:p w14:paraId="42C5F484" w14:textId="77777777" w:rsidR="00AE0B3B" w:rsidRPr="003273E0" w:rsidRDefault="00AE0B3B" w:rsidP="00847DA5">
            <w:pPr>
              <w:rPr>
                <w:color w:val="172242" w:themeColor="accent1"/>
              </w:rPr>
            </w:pPr>
            <w:r w:rsidRPr="003273E0">
              <w:rPr>
                <w:color w:val="172242" w:themeColor="accent1"/>
              </w:rPr>
              <w:t>Risk that data breaches or unauthorised access can result in proprietary data loss.</w:t>
            </w:r>
          </w:p>
          <w:p w14:paraId="3F424CC3" w14:textId="77777777" w:rsidR="00AE0B3B" w:rsidRPr="003273E0" w:rsidRDefault="00AE0B3B" w:rsidP="00847DA5">
            <w:pPr>
              <w:rPr>
                <w:color w:val="172242" w:themeColor="accent1"/>
              </w:rPr>
            </w:pPr>
          </w:p>
        </w:tc>
        <w:tc>
          <w:tcPr>
            <w:tcW w:w="5528" w:type="dxa"/>
            <w:vMerge w:val="restart"/>
          </w:tcPr>
          <w:p w14:paraId="6D87A263"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Effective regulatory framework</w:t>
            </w:r>
            <w:r w:rsidRPr="003273E0">
              <w:rPr>
                <w:color w:val="172242" w:themeColor="accent1"/>
              </w:rPr>
              <w:t>: As countries implement AI regulation, firms - particularly those that operate across jurisdictions - will need a good strategy to ensure coordination and compliance. Firms should rely on proportionality to approach the level of risk posed by various AI technologies, particularly in cases where AI autonomously drives decisions.</w:t>
            </w:r>
          </w:p>
          <w:p w14:paraId="076DB019"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Assessing cybersecurity risks</w:t>
            </w:r>
            <w:r w:rsidRPr="003273E0">
              <w:rPr>
                <w:color w:val="172242" w:themeColor="accent1"/>
              </w:rPr>
              <w:t>: With AI models being reliant on network infrastructure, and with vast datasets, firms should seek to assess and mange cybersecurity risks effectively by identifying potential vulnerabilities in systems and data. This includes harnessing an effective cyber threat intelligence strategy to identify and analyse cyber threats before they impact the firm.</w:t>
            </w:r>
          </w:p>
          <w:p w14:paraId="16095393"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Comprehensive risk register</w:t>
            </w:r>
            <w:r w:rsidRPr="003273E0">
              <w:rPr>
                <w:color w:val="172242" w:themeColor="accent1"/>
              </w:rPr>
              <w:t xml:space="preserve">: Implementing an effective incident and error management process. This may include escalating incidents to line management and the Risk and Compliance functions, logging and recording errors as per policy and conducting root cause analysis. </w:t>
            </w:r>
          </w:p>
          <w:p w14:paraId="7ED7F37C"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External threat-aware personnel</w:t>
            </w:r>
            <w:r w:rsidRPr="003273E0">
              <w:rPr>
                <w:color w:val="172242" w:themeColor="accent1"/>
              </w:rPr>
              <w:t>: Firms should ensure sufficient and skilled personnel to undertake activities related to cybersecurity and external threats such as phishing and deep fakes, maintaining efficient and well-controlled processes, resilient systems and controls, and oversight of third-party relationships.</w:t>
            </w:r>
          </w:p>
          <w:p w14:paraId="3DA4C805"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Third party oversight</w:t>
            </w:r>
            <w:r w:rsidRPr="003273E0">
              <w:rPr>
                <w:color w:val="172242" w:themeColor="accent1"/>
              </w:rPr>
              <w:t>: Monitoring of supplier usage of AI and mapping this to the provision of services to the firm and consumers, understanding where functions may need to be substituted in the event of a failure or incident.</w:t>
            </w:r>
          </w:p>
        </w:tc>
      </w:tr>
      <w:tr w:rsidR="003273E0" w:rsidRPr="003273E0" w14:paraId="09A423C7" w14:textId="77777777" w:rsidTr="00847DA5">
        <w:tc>
          <w:tcPr>
            <w:tcW w:w="1403" w:type="dxa"/>
          </w:tcPr>
          <w:p w14:paraId="385FEC84" w14:textId="77777777" w:rsidR="00AE0B3B" w:rsidRPr="003273E0" w:rsidRDefault="00AE0B3B" w:rsidP="00847DA5">
            <w:pPr>
              <w:rPr>
                <w:color w:val="172242" w:themeColor="accent1"/>
              </w:rPr>
            </w:pPr>
            <w:r w:rsidRPr="003273E0">
              <w:rPr>
                <w:color w:val="172242" w:themeColor="accent1"/>
              </w:rPr>
              <w:t>Cyber threats</w:t>
            </w:r>
          </w:p>
        </w:tc>
        <w:tc>
          <w:tcPr>
            <w:tcW w:w="2136" w:type="dxa"/>
          </w:tcPr>
          <w:p w14:paraId="53015BFE" w14:textId="77777777" w:rsidR="00AE0B3B" w:rsidRPr="003273E0" w:rsidRDefault="00AE0B3B" w:rsidP="00847DA5">
            <w:pPr>
              <w:rPr>
                <w:color w:val="172242" w:themeColor="accent1"/>
              </w:rPr>
            </w:pPr>
            <w:r w:rsidRPr="003273E0">
              <w:rPr>
                <w:color w:val="172242" w:themeColor="accent1"/>
              </w:rPr>
              <w:t>Risk that AI is used to develop sophisticated cyberattacks on firms.</w:t>
            </w:r>
          </w:p>
          <w:p w14:paraId="76330985" w14:textId="77777777" w:rsidR="00AE0B3B" w:rsidRPr="003273E0" w:rsidRDefault="00AE0B3B" w:rsidP="00847DA5">
            <w:pPr>
              <w:rPr>
                <w:color w:val="172242" w:themeColor="accent1"/>
              </w:rPr>
            </w:pPr>
          </w:p>
        </w:tc>
        <w:tc>
          <w:tcPr>
            <w:tcW w:w="5528" w:type="dxa"/>
            <w:vMerge/>
          </w:tcPr>
          <w:p w14:paraId="1F0122E3" w14:textId="77777777" w:rsidR="00AE0B3B" w:rsidRPr="003273E0" w:rsidRDefault="00AE0B3B" w:rsidP="00847DA5">
            <w:pPr>
              <w:rPr>
                <w:color w:val="172242" w:themeColor="accent1"/>
              </w:rPr>
            </w:pPr>
          </w:p>
        </w:tc>
      </w:tr>
      <w:tr w:rsidR="003273E0" w:rsidRPr="003273E0" w14:paraId="67942ABD" w14:textId="77777777" w:rsidTr="00847DA5">
        <w:tc>
          <w:tcPr>
            <w:tcW w:w="1403" w:type="dxa"/>
          </w:tcPr>
          <w:p w14:paraId="78FD3D71" w14:textId="77777777" w:rsidR="00AE0B3B" w:rsidRPr="003273E0" w:rsidRDefault="00AE0B3B" w:rsidP="00847DA5">
            <w:pPr>
              <w:rPr>
                <w:color w:val="172242" w:themeColor="accent1"/>
              </w:rPr>
            </w:pPr>
            <w:r w:rsidRPr="003273E0">
              <w:rPr>
                <w:color w:val="172242" w:themeColor="accent1"/>
              </w:rPr>
              <w:t>External fraud</w:t>
            </w:r>
          </w:p>
        </w:tc>
        <w:tc>
          <w:tcPr>
            <w:tcW w:w="2136" w:type="dxa"/>
          </w:tcPr>
          <w:p w14:paraId="262B0214" w14:textId="77777777" w:rsidR="00AE0B3B" w:rsidRPr="003273E0" w:rsidRDefault="00AE0B3B" w:rsidP="00847DA5">
            <w:pPr>
              <w:rPr>
                <w:color w:val="172242" w:themeColor="accent1"/>
              </w:rPr>
            </w:pPr>
            <w:r w:rsidRPr="003273E0">
              <w:rPr>
                <w:color w:val="172242" w:themeColor="accent1"/>
              </w:rPr>
              <w:t>Risk that vulnerabilities in AI systems can be exploited by bad actors for malicious intent.</w:t>
            </w:r>
          </w:p>
          <w:p w14:paraId="5AFB6DA4" w14:textId="77777777" w:rsidR="00AE0B3B" w:rsidRPr="003273E0" w:rsidRDefault="00AE0B3B" w:rsidP="00847DA5">
            <w:pPr>
              <w:rPr>
                <w:color w:val="172242" w:themeColor="accent1"/>
              </w:rPr>
            </w:pPr>
          </w:p>
        </w:tc>
        <w:tc>
          <w:tcPr>
            <w:tcW w:w="5528" w:type="dxa"/>
            <w:vMerge/>
          </w:tcPr>
          <w:p w14:paraId="7AAA0524" w14:textId="77777777" w:rsidR="00AE0B3B" w:rsidRPr="003273E0" w:rsidRDefault="00AE0B3B" w:rsidP="00847DA5">
            <w:pPr>
              <w:rPr>
                <w:color w:val="172242" w:themeColor="accent1"/>
              </w:rPr>
            </w:pPr>
          </w:p>
        </w:tc>
      </w:tr>
      <w:tr w:rsidR="003273E0" w:rsidRPr="003273E0" w14:paraId="3F7BAD70" w14:textId="77777777" w:rsidTr="00847DA5">
        <w:tc>
          <w:tcPr>
            <w:tcW w:w="1403" w:type="dxa"/>
          </w:tcPr>
          <w:p w14:paraId="3A388DD2" w14:textId="77777777" w:rsidR="00AE0B3B" w:rsidRPr="003273E0" w:rsidRDefault="00AE0B3B" w:rsidP="00847DA5">
            <w:pPr>
              <w:rPr>
                <w:color w:val="172242" w:themeColor="accent1"/>
              </w:rPr>
            </w:pPr>
            <w:r w:rsidRPr="003273E0">
              <w:rPr>
                <w:color w:val="172242" w:themeColor="accent1"/>
              </w:rPr>
              <w:t>Lack of effective third party / supplier management</w:t>
            </w:r>
          </w:p>
        </w:tc>
        <w:tc>
          <w:tcPr>
            <w:tcW w:w="2136" w:type="dxa"/>
          </w:tcPr>
          <w:p w14:paraId="26A5801E" w14:textId="77777777" w:rsidR="00AE0B3B" w:rsidRPr="003273E0" w:rsidRDefault="00AE0B3B" w:rsidP="00847DA5">
            <w:pPr>
              <w:rPr>
                <w:color w:val="172242" w:themeColor="accent1"/>
              </w:rPr>
            </w:pPr>
            <w:r w:rsidRPr="003273E0">
              <w:rPr>
                <w:color w:val="172242" w:themeColor="accent1"/>
              </w:rPr>
              <w:t>Risk that third parties utilise AI models that acts on a firm’s behalf without sufficient oversight / permission; Risk that third parties’ reliance on AI impact service quality, reliability or resilience.</w:t>
            </w:r>
          </w:p>
          <w:p w14:paraId="3630B5AC" w14:textId="77777777" w:rsidR="00AE0B3B" w:rsidRPr="003273E0" w:rsidRDefault="00AE0B3B" w:rsidP="00847DA5">
            <w:pPr>
              <w:rPr>
                <w:color w:val="172242" w:themeColor="accent1"/>
              </w:rPr>
            </w:pPr>
          </w:p>
        </w:tc>
        <w:tc>
          <w:tcPr>
            <w:tcW w:w="5528" w:type="dxa"/>
            <w:vMerge/>
          </w:tcPr>
          <w:p w14:paraId="05B658DC" w14:textId="77777777" w:rsidR="00AE0B3B" w:rsidRPr="003273E0" w:rsidRDefault="00AE0B3B" w:rsidP="00847DA5">
            <w:pPr>
              <w:rPr>
                <w:color w:val="172242" w:themeColor="accent1"/>
              </w:rPr>
            </w:pPr>
          </w:p>
        </w:tc>
      </w:tr>
      <w:tr w:rsidR="003273E0" w:rsidRPr="003273E0" w14:paraId="49AC27E6" w14:textId="77777777" w:rsidTr="00847DA5">
        <w:tc>
          <w:tcPr>
            <w:tcW w:w="1403" w:type="dxa"/>
          </w:tcPr>
          <w:p w14:paraId="06B98067" w14:textId="77777777" w:rsidR="00AE0B3B" w:rsidRPr="003273E0" w:rsidRDefault="00AE0B3B" w:rsidP="00847DA5">
            <w:pPr>
              <w:rPr>
                <w:color w:val="172242" w:themeColor="accent1"/>
              </w:rPr>
            </w:pPr>
            <w:r w:rsidRPr="003273E0">
              <w:rPr>
                <w:color w:val="172242" w:themeColor="accent1"/>
              </w:rPr>
              <w:t>Legal risks / liability implications</w:t>
            </w:r>
          </w:p>
        </w:tc>
        <w:tc>
          <w:tcPr>
            <w:tcW w:w="2136" w:type="dxa"/>
          </w:tcPr>
          <w:p w14:paraId="157F9350" w14:textId="77777777" w:rsidR="00AE0B3B" w:rsidRPr="003273E0" w:rsidRDefault="00AE0B3B" w:rsidP="00847DA5">
            <w:pPr>
              <w:rPr>
                <w:color w:val="172242" w:themeColor="accent1"/>
              </w:rPr>
            </w:pPr>
            <w:r w:rsidRPr="003273E0">
              <w:rPr>
                <w:color w:val="172242" w:themeColor="accent1"/>
              </w:rPr>
              <w:t>Risk that unchecked AI presents unexpected or novel opportunities for litigation.</w:t>
            </w:r>
          </w:p>
          <w:p w14:paraId="5A4317C3" w14:textId="77777777" w:rsidR="00AE0B3B" w:rsidRPr="003273E0" w:rsidRDefault="00AE0B3B" w:rsidP="00847DA5">
            <w:pPr>
              <w:rPr>
                <w:color w:val="172242" w:themeColor="accent1"/>
              </w:rPr>
            </w:pPr>
          </w:p>
        </w:tc>
        <w:tc>
          <w:tcPr>
            <w:tcW w:w="5528" w:type="dxa"/>
            <w:vMerge/>
          </w:tcPr>
          <w:p w14:paraId="5AF37A6A" w14:textId="77777777" w:rsidR="00AE0B3B" w:rsidRPr="003273E0" w:rsidRDefault="00AE0B3B" w:rsidP="00847DA5">
            <w:pPr>
              <w:rPr>
                <w:color w:val="172242" w:themeColor="accent1"/>
              </w:rPr>
            </w:pPr>
          </w:p>
        </w:tc>
      </w:tr>
    </w:tbl>
    <w:p w14:paraId="6C8371E7" w14:textId="77777777" w:rsidR="00AE0B3B" w:rsidRDefault="00AE0B3B" w:rsidP="00AE0B3B"/>
    <w:p w14:paraId="09B59279" w14:textId="77777777" w:rsidR="00AE0B3B" w:rsidRPr="003273E0" w:rsidRDefault="00AE0B3B" w:rsidP="00AE0B3B">
      <w:pPr>
        <w:pStyle w:val="Heading2"/>
        <w:spacing w:before="120"/>
        <w:rPr>
          <w:color w:val="172242" w:themeColor="accent1"/>
        </w:rPr>
      </w:pPr>
      <w:bookmarkStart w:id="4" w:name="_Toc174543849"/>
      <w:bookmarkStart w:id="5" w:name="_Toc178340183"/>
      <w:r w:rsidRPr="003273E0">
        <w:rPr>
          <w:color w:val="172242" w:themeColor="accent1"/>
        </w:rPr>
        <w:t>3. Internal risks</w:t>
      </w:r>
      <w:bookmarkEnd w:id="4"/>
      <w:bookmarkEnd w:id="5"/>
    </w:p>
    <w:tbl>
      <w:tblPr>
        <w:tblStyle w:val="TableGrid"/>
        <w:tblW w:w="9067" w:type="dxa"/>
        <w:tblLook w:val="04A0" w:firstRow="1" w:lastRow="0" w:firstColumn="1" w:lastColumn="0" w:noHBand="0" w:noVBand="1"/>
      </w:tblPr>
      <w:tblGrid>
        <w:gridCol w:w="1412"/>
        <w:gridCol w:w="2127"/>
        <w:gridCol w:w="5528"/>
      </w:tblGrid>
      <w:tr w:rsidR="003273E0" w:rsidRPr="003273E0" w14:paraId="29F9B453" w14:textId="77777777" w:rsidTr="00847DA5">
        <w:tc>
          <w:tcPr>
            <w:tcW w:w="1412" w:type="dxa"/>
          </w:tcPr>
          <w:p w14:paraId="15C0E0A2" w14:textId="77777777" w:rsidR="00AE0B3B" w:rsidRPr="003273E0" w:rsidRDefault="00AE0B3B" w:rsidP="00847DA5">
            <w:pPr>
              <w:rPr>
                <w:color w:val="172242" w:themeColor="accent1"/>
              </w:rPr>
            </w:pPr>
            <w:r w:rsidRPr="003273E0">
              <w:rPr>
                <w:color w:val="172242" w:themeColor="accent1"/>
              </w:rPr>
              <w:lastRenderedPageBreak/>
              <w:t>Skills gap</w:t>
            </w:r>
          </w:p>
        </w:tc>
        <w:tc>
          <w:tcPr>
            <w:tcW w:w="2127" w:type="dxa"/>
          </w:tcPr>
          <w:p w14:paraId="237674EE" w14:textId="77777777" w:rsidR="00AE0B3B" w:rsidRPr="003273E0" w:rsidRDefault="00AE0B3B" w:rsidP="00847DA5">
            <w:pPr>
              <w:rPr>
                <w:color w:val="172242" w:themeColor="accent1"/>
              </w:rPr>
            </w:pPr>
            <w:r w:rsidRPr="003273E0">
              <w:rPr>
                <w:color w:val="172242" w:themeColor="accent1"/>
              </w:rPr>
              <w:t>Risk that insufficient staff expertise and/or training can lead to lack of understanding or failure to realise the upsides of AI.</w:t>
            </w:r>
          </w:p>
          <w:p w14:paraId="12708C48" w14:textId="77777777" w:rsidR="00AE0B3B" w:rsidRPr="003273E0" w:rsidRDefault="00AE0B3B" w:rsidP="00847DA5">
            <w:pPr>
              <w:rPr>
                <w:color w:val="172242" w:themeColor="accent1"/>
              </w:rPr>
            </w:pPr>
          </w:p>
        </w:tc>
        <w:tc>
          <w:tcPr>
            <w:tcW w:w="5528" w:type="dxa"/>
            <w:vMerge w:val="restart"/>
          </w:tcPr>
          <w:p w14:paraId="02C25404"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Implement robust governance frameworks for use of AI including data handling</w:t>
            </w:r>
            <w:r w:rsidRPr="003273E0">
              <w:rPr>
                <w:color w:val="172242" w:themeColor="accent1"/>
              </w:rPr>
              <w:t xml:space="preserve">: Firms must endeavour to set out clear internal governance frameworks that provide clear risk appetites and tolerances for fraud, both internal and external. Such frameworks should also clearly consider and set out legal risks and liability implications, which includes the loss of data due to misuse of personal data. This will also help promote and streamline transparency and accountability across workstreams in an organisation. </w:t>
            </w:r>
          </w:p>
          <w:p w14:paraId="741DD738"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Investing in Employee Training</w:t>
            </w:r>
            <w:r w:rsidRPr="003273E0">
              <w:rPr>
                <w:color w:val="172242" w:themeColor="accent1"/>
              </w:rPr>
              <w:t xml:space="preserve">: As AI continues to develop, it is important for firms to not just ensure employees are trained to use the technology for productivity gains but also train to recognise the gaps in the technology and what risk mitigation mechanisms must be exercised when using the technology. </w:t>
            </w:r>
          </w:p>
          <w:p w14:paraId="37D68146"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Test business uses of AI safely</w:t>
            </w:r>
            <w:r w:rsidRPr="003273E0">
              <w:rPr>
                <w:color w:val="172242" w:themeColor="accent1"/>
              </w:rPr>
              <w:t>: Testing provides an opportunity to experiment in a controlled environment and to learn and develop further tests. Ultimately it allows for learnings to be shared more widely within firms as well as encouraging new ideas to come forward.</w:t>
            </w:r>
          </w:p>
          <w:p w14:paraId="3B2A23A3"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Innovative education and engagement initiatives</w:t>
            </w:r>
            <w:r w:rsidRPr="003273E0">
              <w:rPr>
                <w:color w:val="172242" w:themeColor="accent1"/>
              </w:rPr>
              <w:t xml:space="preserve">: Investing in educating colleagues and ensuring engagement with senior management with initiatives in AI. Engaging in educational initiatives, such as all-staff meetings or webinars to showcase the firm's work and expertise. This can help in building a positive reputation and mitigating the risk of reputational damage due to sub-optimal outcomes. </w:t>
            </w:r>
          </w:p>
          <w:p w14:paraId="5AA5E973" w14:textId="77777777" w:rsidR="00AE0B3B" w:rsidRPr="003273E0" w:rsidRDefault="00AE0B3B" w:rsidP="00AE0B3B">
            <w:pPr>
              <w:pStyle w:val="ListParagraph"/>
              <w:numPr>
                <w:ilvl w:val="0"/>
                <w:numId w:val="58"/>
              </w:numPr>
              <w:ind w:left="179" w:hanging="179"/>
              <w:rPr>
                <w:color w:val="172242" w:themeColor="accent1"/>
              </w:rPr>
            </w:pPr>
            <w:r w:rsidRPr="003273E0">
              <w:rPr>
                <w:b/>
                <w:bCs/>
                <w:color w:val="172242" w:themeColor="accent1"/>
                <w:u w:val="single"/>
              </w:rPr>
              <w:t>Continuous Monitoring</w:t>
            </w:r>
            <w:r w:rsidRPr="003273E0">
              <w:rPr>
                <w:color w:val="172242" w:themeColor="accent1"/>
              </w:rPr>
              <w:t xml:space="preserve">: Risk mitigation is an iterative process particularly when using AI which is evolving at an accelerated rate. Internal use case test teams should maintain a register of where AI is utilised, provide progress updates and guidance on use, including information on productivity and AI training sessions, data visualisation tools, and upcoming training that accounts for evolving developments. </w:t>
            </w:r>
          </w:p>
        </w:tc>
      </w:tr>
      <w:tr w:rsidR="003273E0" w:rsidRPr="003273E0" w14:paraId="40B63707" w14:textId="77777777" w:rsidTr="00847DA5">
        <w:tc>
          <w:tcPr>
            <w:tcW w:w="1412" w:type="dxa"/>
          </w:tcPr>
          <w:p w14:paraId="6B879BEE" w14:textId="77777777" w:rsidR="00AE0B3B" w:rsidRPr="003273E0" w:rsidRDefault="00AE0B3B" w:rsidP="00847DA5">
            <w:pPr>
              <w:rPr>
                <w:color w:val="172242" w:themeColor="accent1"/>
              </w:rPr>
            </w:pPr>
            <w:r w:rsidRPr="003273E0">
              <w:rPr>
                <w:color w:val="172242" w:themeColor="accent1"/>
              </w:rPr>
              <w:t>Reputational loss</w:t>
            </w:r>
          </w:p>
        </w:tc>
        <w:tc>
          <w:tcPr>
            <w:tcW w:w="2127" w:type="dxa"/>
          </w:tcPr>
          <w:p w14:paraId="4C75FA1D" w14:textId="77777777" w:rsidR="00AE0B3B" w:rsidRPr="003273E0" w:rsidRDefault="00AE0B3B" w:rsidP="00847DA5">
            <w:pPr>
              <w:rPr>
                <w:color w:val="172242" w:themeColor="accent1"/>
              </w:rPr>
            </w:pPr>
            <w:r w:rsidRPr="003273E0">
              <w:rPr>
                <w:color w:val="172242" w:themeColor="accent1"/>
              </w:rPr>
              <w:t>Risk that sub-optimal outcomes for customers or other external impacts result in reputational damage for the firm.</w:t>
            </w:r>
          </w:p>
          <w:p w14:paraId="6508FFBA" w14:textId="77777777" w:rsidR="00AE0B3B" w:rsidRPr="003273E0" w:rsidRDefault="00AE0B3B" w:rsidP="00847DA5">
            <w:pPr>
              <w:rPr>
                <w:color w:val="172242" w:themeColor="accent1"/>
              </w:rPr>
            </w:pPr>
          </w:p>
        </w:tc>
        <w:tc>
          <w:tcPr>
            <w:tcW w:w="5528" w:type="dxa"/>
            <w:vMerge/>
          </w:tcPr>
          <w:p w14:paraId="25477091" w14:textId="77777777" w:rsidR="00AE0B3B" w:rsidRPr="003273E0" w:rsidRDefault="00AE0B3B" w:rsidP="00847DA5">
            <w:pPr>
              <w:rPr>
                <w:color w:val="172242" w:themeColor="accent1"/>
              </w:rPr>
            </w:pPr>
          </w:p>
        </w:tc>
      </w:tr>
      <w:tr w:rsidR="003273E0" w:rsidRPr="003273E0" w14:paraId="4E3B480C" w14:textId="77777777" w:rsidTr="00847DA5">
        <w:tc>
          <w:tcPr>
            <w:tcW w:w="1412" w:type="dxa"/>
          </w:tcPr>
          <w:p w14:paraId="2969E4E8" w14:textId="77777777" w:rsidR="00AE0B3B" w:rsidRPr="003273E0" w:rsidRDefault="00AE0B3B" w:rsidP="00847DA5">
            <w:pPr>
              <w:rPr>
                <w:color w:val="172242" w:themeColor="accent1"/>
              </w:rPr>
            </w:pPr>
            <w:r w:rsidRPr="003273E0">
              <w:rPr>
                <w:color w:val="172242" w:themeColor="accent1"/>
              </w:rPr>
              <w:t>GDPR / Personal Information loss</w:t>
            </w:r>
          </w:p>
        </w:tc>
        <w:tc>
          <w:tcPr>
            <w:tcW w:w="2127" w:type="dxa"/>
          </w:tcPr>
          <w:p w14:paraId="5E7F5832" w14:textId="77777777" w:rsidR="00AE0B3B" w:rsidRPr="003273E0" w:rsidRDefault="00AE0B3B" w:rsidP="00847DA5">
            <w:pPr>
              <w:rPr>
                <w:color w:val="172242" w:themeColor="accent1"/>
              </w:rPr>
            </w:pPr>
            <w:r w:rsidRPr="003273E0">
              <w:rPr>
                <w:color w:val="172242" w:themeColor="accent1"/>
              </w:rPr>
              <w:t>Risk that personal individual identifiable information is lost during HR or customer data processing.</w:t>
            </w:r>
          </w:p>
          <w:p w14:paraId="56674DAE" w14:textId="77777777" w:rsidR="00AE0B3B" w:rsidRPr="003273E0" w:rsidRDefault="00AE0B3B" w:rsidP="00847DA5">
            <w:pPr>
              <w:rPr>
                <w:color w:val="172242" w:themeColor="accent1"/>
              </w:rPr>
            </w:pPr>
          </w:p>
        </w:tc>
        <w:tc>
          <w:tcPr>
            <w:tcW w:w="5528" w:type="dxa"/>
            <w:vMerge/>
          </w:tcPr>
          <w:p w14:paraId="541BEC0B" w14:textId="77777777" w:rsidR="00AE0B3B" w:rsidRPr="003273E0" w:rsidRDefault="00AE0B3B" w:rsidP="00847DA5">
            <w:pPr>
              <w:rPr>
                <w:color w:val="172242" w:themeColor="accent1"/>
              </w:rPr>
            </w:pPr>
          </w:p>
        </w:tc>
      </w:tr>
      <w:tr w:rsidR="003273E0" w:rsidRPr="003273E0" w14:paraId="01EC638F" w14:textId="77777777" w:rsidTr="00847DA5">
        <w:tc>
          <w:tcPr>
            <w:tcW w:w="1412" w:type="dxa"/>
          </w:tcPr>
          <w:p w14:paraId="5347DD55" w14:textId="77777777" w:rsidR="00AE0B3B" w:rsidRPr="003273E0" w:rsidRDefault="00AE0B3B" w:rsidP="00847DA5">
            <w:pPr>
              <w:rPr>
                <w:color w:val="172242" w:themeColor="accent1"/>
              </w:rPr>
            </w:pPr>
            <w:r w:rsidRPr="003273E0">
              <w:rPr>
                <w:color w:val="172242" w:themeColor="accent1"/>
              </w:rPr>
              <w:t>Loss of control on usage of AI within the firm</w:t>
            </w:r>
          </w:p>
        </w:tc>
        <w:tc>
          <w:tcPr>
            <w:tcW w:w="2127" w:type="dxa"/>
          </w:tcPr>
          <w:p w14:paraId="0702F214" w14:textId="77777777" w:rsidR="00AE0B3B" w:rsidRPr="003273E0" w:rsidRDefault="00AE0B3B" w:rsidP="00847DA5">
            <w:pPr>
              <w:rPr>
                <w:color w:val="172242" w:themeColor="accent1"/>
              </w:rPr>
            </w:pPr>
            <w:r w:rsidRPr="003273E0">
              <w:rPr>
                <w:color w:val="172242" w:themeColor="accent1"/>
              </w:rPr>
              <w:t>Risk that understanding of where and how AI is used is lost as more use cases are deployed and/or roll-out becomes uncontrolled.</w:t>
            </w:r>
          </w:p>
        </w:tc>
        <w:tc>
          <w:tcPr>
            <w:tcW w:w="5528" w:type="dxa"/>
            <w:vMerge/>
          </w:tcPr>
          <w:p w14:paraId="170DA7D5" w14:textId="77777777" w:rsidR="00AE0B3B" w:rsidRPr="003273E0" w:rsidRDefault="00AE0B3B" w:rsidP="00847DA5">
            <w:pPr>
              <w:rPr>
                <w:color w:val="172242" w:themeColor="accent1"/>
              </w:rPr>
            </w:pPr>
          </w:p>
        </w:tc>
      </w:tr>
    </w:tbl>
    <w:p w14:paraId="6F09AD1E" w14:textId="77777777" w:rsidR="00941198" w:rsidRDefault="00941198" w:rsidP="00941198"/>
    <w:p w14:paraId="4E134649" w14:textId="72B39936" w:rsidR="009D3953" w:rsidRPr="00941198" w:rsidRDefault="009D3953" w:rsidP="00941198">
      <w:pPr>
        <w:rPr>
          <w:rFonts w:asciiTheme="majorHAnsi" w:eastAsiaTheme="majorEastAsia" w:hAnsiTheme="majorHAnsi" w:cstheme="majorBidi"/>
          <w:color w:val="111931" w:themeColor="accent1" w:themeShade="BF"/>
          <w:sz w:val="32"/>
          <w:szCs w:val="32"/>
        </w:rPr>
      </w:pPr>
      <w:r w:rsidRPr="00BF6BE9">
        <w:rPr>
          <w:color w:val="27B88C" w:themeColor="accent2"/>
          <w:sz w:val="28"/>
          <w:szCs w:val="28"/>
        </w:rPr>
        <w:t>How can Government and financial regulators strike the right balance between seizing the opportunities of AI but at the same time protecting consumers and mitigating against any threats to financial stability?</w:t>
      </w:r>
    </w:p>
    <w:p w14:paraId="03EE2C30" w14:textId="081FC1D2" w:rsidR="00CC3DF2" w:rsidRPr="00CC3DF2" w:rsidRDefault="00A1236B" w:rsidP="00CC3DF2">
      <w:pPr>
        <w:rPr>
          <w:color w:val="172242" w:themeColor="accent1"/>
        </w:rPr>
      </w:pPr>
      <w:r>
        <w:rPr>
          <w:color w:val="172242" w:themeColor="accent1"/>
        </w:rPr>
        <w:t>While we do not consider current</w:t>
      </w:r>
      <w:r w:rsidR="00CC3DF2" w:rsidRPr="00CC3DF2">
        <w:rPr>
          <w:color w:val="172242" w:themeColor="accent1"/>
        </w:rPr>
        <w:t xml:space="preserve"> regulat</w:t>
      </w:r>
      <w:r>
        <w:rPr>
          <w:color w:val="172242" w:themeColor="accent1"/>
        </w:rPr>
        <w:t>ory arrangements</w:t>
      </w:r>
      <w:r w:rsidR="00CC3DF2" w:rsidRPr="00CC3DF2">
        <w:rPr>
          <w:color w:val="172242" w:themeColor="accent1"/>
        </w:rPr>
        <w:t xml:space="preserve"> </w:t>
      </w:r>
      <w:r>
        <w:rPr>
          <w:color w:val="172242" w:themeColor="accent1"/>
        </w:rPr>
        <w:t>to be</w:t>
      </w:r>
      <w:r w:rsidR="00CC3DF2" w:rsidRPr="00CC3DF2">
        <w:rPr>
          <w:color w:val="172242" w:themeColor="accent1"/>
        </w:rPr>
        <w:t xml:space="preserve"> a serious barrier to innovation at this stage, the prospect of potential future regulatory interventions may be fuelling a degree of caution among firms.</w:t>
      </w:r>
    </w:p>
    <w:p w14:paraId="6321F152" w14:textId="0FB8A5A5" w:rsidR="00CC3DF2" w:rsidRPr="00CC3DF2" w:rsidRDefault="00CC3DF2" w:rsidP="00CC3DF2">
      <w:pPr>
        <w:rPr>
          <w:color w:val="172242" w:themeColor="accent1"/>
        </w:rPr>
      </w:pPr>
      <w:r w:rsidRPr="00CC3DF2">
        <w:rPr>
          <w:color w:val="172242" w:themeColor="accent1"/>
        </w:rPr>
        <w:t xml:space="preserve">Investment management is an international industry. Consequently, most UK-based firms will realistically need to comply with the EU AI Act owing to their distribution strategies, fund domiciles or physical office presence. </w:t>
      </w:r>
    </w:p>
    <w:p w14:paraId="2833C65C" w14:textId="1E990772" w:rsidR="00CC3DF2" w:rsidRPr="00CC3DF2" w:rsidRDefault="00CC3DF2" w:rsidP="004F68BB">
      <w:pPr>
        <w:rPr>
          <w:color w:val="172242" w:themeColor="accent1"/>
        </w:rPr>
      </w:pPr>
      <w:r w:rsidRPr="00CC3DF2">
        <w:rPr>
          <w:color w:val="172242" w:themeColor="accent1"/>
        </w:rPr>
        <w:t xml:space="preserve">As global businesses, investment management firms are dependent on ready access to and free flow of data across jurisdictions. However, a proliferation of data regulations globally has increased the complexity </w:t>
      </w:r>
      <w:r w:rsidRPr="00CC3DF2">
        <w:rPr>
          <w:color w:val="172242" w:themeColor="accent1"/>
        </w:rPr>
        <w:lastRenderedPageBreak/>
        <w:t xml:space="preserve">of data sharing across borders. </w:t>
      </w:r>
      <w:r w:rsidR="004F68BB">
        <w:rPr>
          <w:color w:val="172242" w:themeColor="accent1"/>
        </w:rPr>
        <w:t>We</w:t>
      </w:r>
      <w:r w:rsidRPr="00CC3DF2">
        <w:rPr>
          <w:color w:val="172242" w:themeColor="accent1"/>
        </w:rPr>
        <w:t xml:space="preserve"> therefore underline the importance of ongoing multilateral efforts to safeguard responsible international data flows.</w:t>
      </w:r>
    </w:p>
    <w:p w14:paraId="68B40C93" w14:textId="7BB627D8" w:rsidR="00CC3DF2" w:rsidRPr="00CC3DF2" w:rsidRDefault="00CC3DF2" w:rsidP="00CC3DF2">
      <w:pPr>
        <w:pStyle w:val="BodyText"/>
        <w:spacing w:after="160"/>
        <w:rPr>
          <w:color w:val="172242" w:themeColor="accent1"/>
          <w:kern w:val="2"/>
          <w14:ligatures w14:val="standardContextual"/>
        </w:rPr>
      </w:pPr>
      <w:r w:rsidRPr="00CC3DF2">
        <w:rPr>
          <w:color w:val="172242" w:themeColor="accent1"/>
          <w:kern w:val="2"/>
          <w14:ligatures w14:val="standardContextual"/>
        </w:rPr>
        <w:t xml:space="preserve">As a principle, </w:t>
      </w:r>
      <w:r w:rsidR="004F68BB">
        <w:rPr>
          <w:color w:val="172242" w:themeColor="accent1"/>
          <w:kern w:val="2"/>
          <w14:ligatures w14:val="standardContextual"/>
        </w:rPr>
        <w:t>we</w:t>
      </w:r>
      <w:r w:rsidRPr="00CC3DF2">
        <w:rPr>
          <w:color w:val="172242" w:themeColor="accent1"/>
          <w:kern w:val="2"/>
          <w14:ligatures w14:val="standardContextual"/>
        </w:rPr>
        <w:t xml:space="preserve"> favour leveraging existing rules as far as possible, and where necessary, bolstering them through the provision of timely sector-level regulatory guidance to bring clarity to market participants on how those existing rules apply with respect to AI. </w:t>
      </w:r>
    </w:p>
    <w:p w14:paraId="5E53518C" w14:textId="77777777" w:rsidR="00CC3DF2" w:rsidRDefault="00CC3DF2" w:rsidP="00CC3DF2">
      <w:pPr>
        <w:pStyle w:val="BodyText"/>
        <w:spacing w:after="160"/>
        <w:rPr>
          <w:color w:val="172242" w:themeColor="accent1"/>
          <w:kern w:val="2"/>
          <w14:ligatures w14:val="standardContextual"/>
        </w:rPr>
      </w:pPr>
      <w:r w:rsidRPr="00CC3DF2">
        <w:rPr>
          <w:color w:val="172242" w:themeColor="accent1"/>
          <w:kern w:val="2"/>
          <w14:ligatures w14:val="standardContextual"/>
        </w:rPr>
        <w:t xml:space="preserve">It is essential to steer clear of legislating and regulating in ways that may quickly become redundant, fall behind technological advancements, or hinder innovative progress. </w:t>
      </w:r>
    </w:p>
    <w:p w14:paraId="0926CD11" w14:textId="77777777" w:rsidR="00E02F3B" w:rsidRPr="00E02F3B" w:rsidRDefault="00E02F3B" w:rsidP="00E02F3B">
      <w:pPr>
        <w:rPr>
          <w:color w:val="172242" w:themeColor="accent1"/>
        </w:rPr>
      </w:pPr>
      <w:r w:rsidRPr="00E02F3B">
        <w:rPr>
          <w:color w:val="172242" w:themeColor="accent1"/>
        </w:rPr>
        <w:t>Greater adoption of AI within financial services may potentially lead to new systemic risks to the financial system, or otherwise exacerbate existing systemic risks, such as concentrated reliance on a small number of large technology vendors, or the effect of AI agents exacerbating market risks especially during times of global financial stress</w:t>
      </w:r>
      <w:r w:rsidRPr="00E02F3B">
        <w:rPr>
          <w:rStyle w:val="EndnoteReference"/>
          <w:color w:val="172242" w:themeColor="accent1"/>
        </w:rPr>
        <w:endnoteReference w:id="4"/>
      </w:r>
      <w:r w:rsidRPr="00E02F3B">
        <w:rPr>
          <w:color w:val="172242" w:themeColor="accent1"/>
        </w:rPr>
        <w:t>. Indeed, regulators are already alive to this possibility and are thinking about how to deal with this challenge.</w:t>
      </w:r>
    </w:p>
    <w:p w14:paraId="3095B73B" w14:textId="12D47E37" w:rsidR="00E02F3B" w:rsidRPr="00E02F3B" w:rsidRDefault="00E02F3B" w:rsidP="00E02F3B">
      <w:pPr>
        <w:rPr>
          <w:color w:val="172242" w:themeColor="accent1"/>
        </w:rPr>
      </w:pPr>
      <w:r>
        <w:rPr>
          <w:color w:val="172242" w:themeColor="accent1"/>
        </w:rPr>
        <w:t>However, we</w:t>
      </w:r>
      <w:r w:rsidRPr="00E02F3B">
        <w:rPr>
          <w:color w:val="172242" w:themeColor="accent1"/>
        </w:rPr>
        <w:t xml:space="preserve"> do not consider that the emergence of new systemic risks stemming from the widespread use of AI in the finance sector should be reason in itself to hold back from innovating. Rather, AI should be seen as having the potential to change and reshape the nature of systemic risk in the sector, which is a challenge to be managed alongside technological transformation.</w:t>
      </w:r>
    </w:p>
    <w:p w14:paraId="2CB7F21F" w14:textId="77777777" w:rsidR="002E32C4" w:rsidRDefault="002E32C4" w:rsidP="00817F92">
      <w:pPr>
        <w:jc w:val="both"/>
        <w:rPr>
          <w:color w:val="172242" w:themeColor="accent1"/>
        </w:rPr>
      </w:pPr>
    </w:p>
    <w:sectPr w:rsidR="002E32C4" w:rsidSect="00A12D8A">
      <w:footerReference w:type="default" r:id="rId14"/>
      <w:headerReference w:type="first" r:id="rId15"/>
      <w:type w:val="continuous"/>
      <w:pgSz w:w="11906" w:h="16838" w:code="9"/>
      <w:pgMar w:top="1418" w:right="1134" w:bottom="1418" w:left="1134" w:header="709"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B1E891" w14:textId="77777777" w:rsidR="00BA507A" w:rsidRPr="00DE40CC" w:rsidRDefault="00BA507A" w:rsidP="00931CFB">
      <w:pPr>
        <w:spacing w:after="0"/>
      </w:pPr>
      <w:r w:rsidRPr="00DE40CC">
        <w:separator/>
      </w:r>
    </w:p>
  </w:endnote>
  <w:endnote w:type="continuationSeparator" w:id="0">
    <w:p w14:paraId="0EF0848A" w14:textId="77777777" w:rsidR="00BA507A" w:rsidRPr="00DE40CC" w:rsidRDefault="00BA507A" w:rsidP="00931CFB">
      <w:pPr>
        <w:spacing w:after="0"/>
      </w:pPr>
      <w:r w:rsidRPr="00DE40CC">
        <w:continuationSeparator/>
      </w:r>
    </w:p>
  </w:endnote>
  <w:endnote w:type="continuationNotice" w:id="1">
    <w:p w14:paraId="3104C9B8" w14:textId="77777777" w:rsidR="00BA507A" w:rsidRPr="00DE40CC" w:rsidRDefault="00BA507A">
      <w:pPr>
        <w:spacing w:after="0"/>
      </w:pPr>
    </w:p>
  </w:endnote>
  <w:endnote w:id="2">
    <w:p w14:paraId="2F72CE6C" w14:textId="77777777" w:rsidR="00CE6C1F" w:rsidRDefault="00CE6C1F" w:rsidP="00CE6C1F">
      <w:pPr>
        <w:pStyle w:val="EndnoteText"/>
      </w:pPr>
      <w:r>
        <w:rPr>
          <w:rStyle w:val="EndnoteReference"/>
        </w:rPr>
        <w:endnoteRef/>
      </w:r>
      <w:r>
        <w:t xml:space="preserve"> International Monetary Fund: </w:t>
      </w:r>
      <w:hyperlink r:id="rId1" w:history="1">
        <w:r w:rsidRPr="00C84F53">
          <w:rPr>
            <w:rStyle w:val="Hyperlink"/>
            <w:i/>
            <w:iCs/>
          </w:rPr>
          <w:t>AI Preparedness Index</w:t>
        </w:r>
      </w:hyperlink>
      <w:r>
        <w:t xml:space="preserve"> Accessed October 2024</w:t>
      </w:r>
    </w:p>
  </w:endnote>
  <w:endnote w:id="3">
    <w:p w14:paraId="237DEED0" w14:textId="77777777" w:rsidR="003149B9" w:rsidRDefault="003149B9" w:rsidP="003149B9">
      <w:pPr>
        <w:pStyle w:val="EndnoteText"/>
      </w:pPr>
      <w:r>
        <w:rPr>
          <w:rStyle w:val="EndnoteReference"/>
        </w:rPr>
        <w:endnoteRef/>
      </w:r>
      <w:r>
        <w:t xml:space="preserve"> Edinburgh University: </w:t>
      </w:r>
      <w:hyperlink r:id="rId2" w:history="1">
        <w:r w:rsidRPr="009E3677">
          <w:rPr>
            <w:rStyle w:val="Hyperlink"/>
            <w:i/>
            <w:iCs/>
          </w:rPr>
          <w:t xml:space="preserve">abrdn and </w:t>
        </w:r>
        <w:r>
          <w:rPr>
            <w:rStyle w:val="Hyperlink"/>
            <w:i/>
            <w:iCs/>
          </w:rPr>
          <w:t xml:space="preserve">University of </w:t>
        </w:r>
        <w:r w:rsidRPr="009E3677">
          <w:rPr>
            <w:rStyle w:val="Hyperlink"/>
            <w:i/>
            <w:iCs/>
          </w:rPr>
          <w:t>Edinburgh Join Forces to Develop an AI Investment Tool</w:t>
        </w:r>
      </w:hyperlink>
      <w:r>
        <w:t xml:space="preserve"> July 2024</w:t>
      </w:r>
    </w:p>
  </w:endnote>
  <w:endnote w:id="4">
    <w:p w14:paraId="5D14F712" w14:textId="77777777" w:rsidR="00E02F3B" w:rsidRDefault="00E02F3B" w:rsidP="00E02F3B">
      <w:pPr>
        <w:pStyle w:val="EndnoteText"/>
      </w:pPr>
      <w:r>
        <w:rPr>
          <w:rStyle w:val="EndnoteReference"/>
        </w:rPr>
        <w:endnoteRef/>
      </w:r>
      <w:r>
        <w:t xml:space="preserve"> As examined further in Table 4 within </w:t>
      </w:r>
      <w:hyperlink r:id="rId3" w:history="1">
        <w:r w:rsidRPr="004E4FE6">
          <w:rPr>
            <w:rStyle w:val="Hyperlink"/>
            <w:i/>
            <w:iCs/>
          </w:rPr>
          <w:t>B</w:t>
        </w:r>
        <w:r>
          <w:rPr>
            <w:rStyle w:val="Hyperlink"/>
            <w:i/>
            <w:iCs/>
          </w:rPr>
          <w:t>ank for International Settlements</w:t>
        </w:r>
        <w:r w:rsidRPr="004E4FE6">
          <w:rPr>
            <w:rStyle w:val="Hyperlink"/>
            <w:i/>
            <w:iCs/>
          </w:rPr>
          <w:t xml:space="preserve"> Working Paper</w:t>
        </w:r>
        <w:r>
          <w:rPr>
            <w:rStyle w:val="Hyperlink"/>
            <w:i/>
            <w:iCs/>
          </w:rPr>
          <w:t xml:space="preserve"> </w:t>
        </w:r>
        <w:r w:rsidRPr="004E4FE6">
          <w:rPr>
            <w:rStyle w:val="Hyperlink"/>
            <w:i/>
            <w:iCs/>
          </w:rPr>
          <w:t>No 1194</w:t>
        </w:r>
        <w:r>
          <w:rPr>
            <w:rStyle w:val="Hyperlink"/>
            <w:i/>
            <w:iCs/>
          </w:rPr>
          <w:t xml:space="preserve"> - </w:t>
        </w:r>
        <w:r w:rsidRPr="004E4FE6">
          <w:rPr>
            <w:rStyle w:val="Hyperlink"/>
            <w:i/>
            <w:iCs/>
          </w:rPr>
          <w:t>Intelligent financial</w:t>
        </w:r>
        <w:r>
          <w:rPr>
            <w:rStyle w:val="Hyperlink"/>
            <w:i/>
            <w:iCs/>
          </w:rPr>
          <w:t xml:space="preserve"> </w:t>
        </w:r>
        <w:r w:rsidRPr="004E4FE6">
          <w:rPr>
            <w:rStyle w:val="Hyperlink"/>
            <w:i/>
            <w:iCs/>
          </w:rPr>
          <w:t>system: how AI is</w:t>
        </w:r>
        <w:r>
          <w:rPr>
            <w:rStyle w:val="Hyperlink"/>
            <w:i/>
            <w:iCs/>
          </w:rPr>
          <w:t xml:space="preserve"> </w:t>
        </w:r>
        <w:r w:rsidRPr="004E4FE6">
          <w:rPr>
            <w:rStyle w:val="Hyperlink"/>
            <w:i/>
            <w:iCs/>
          </w:rPr>
          <w:t>transforming finance</w:t>
        </w:r>
      </w:hyperlink>
      <w:r>
        <w:t xml:space="preserve"> </w:t>
      </w:r>
      <w:r w:rsidRPr="004E4FE6">
        <w:t>June 2024</w:t>
      </w:r>
      <w:r>
        <w:t>, which looked at the theoretical impact of AI agents during the 2008 financial crash.</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eiryo">
    <w:altName w:val="メイリオ"/>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dotted" w:sz="18" w:space="0" w:color="172242" w:themeColor="accent1"/>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926"/>
      <w:gridCol w:w="702"/>
    </w:tblGrid>
    <w:tr w:rsidR="00DB5C19" w:rsidRPr="00DE40CC" w14:paraId="474D5F6E" w14:textId="77777777">
      <w:trPr>
        <w:trHeight w:val="567"/>
      </w:trPr>
      <w:tc>
        <w:tcPr>
          <w:tcW w:w="8926" w:type="dxa"/>
          <w:vAlign w:val="bottom"/>
        </w:tcPr>
        <w:p w14:paraId="755BCC0D" w14:textId="70317F1B" w:rsidR="00DB5C19" w:rsidRPr="00DE40CC" w:rsidRDefault="00DB5C19" w:rsidP="00DB5C19">
          <w:pPr>
            <w:pStyle w:val="Footer"/>
          </w:pPr>
          <w:r w:rsidRPr="00DE40CC">
            <w:rPr>
              <w:b/>
              <w:bCs/>
              <w:caps/>
            </w:rPr>
            <w:t>The Investment Association</w:t>
          </w:r>
          <w:r w:rsidRPr="00DE40CC">
            <w:t> </w:t>
          </w:r>
          <w:r w:rsidRPr="00DE40CC">
            <w:rPr>
              <w:rStyle w:val="Green"/>
            </w:rPr>
            <w:t>|</w:t>
          </w:r>
          <w:r w:rsidRPr="00DE40CC">
            <w:rPr>
              <w:rStyle w:val="Green"/>
            </w:rPr>
            <w:t> </w:t>
          </w:r>
          <w:r w:rsidR="00847DA5" w:rsidRPr="00847DA5">
            <w:rPr>
              <w:rStyle w:val="Green"/>
            </w:rPr>
            <w:t>AI in financial services</w:t>
          </w:r>
        </w:p>
      </w:tc>
      <w:tc>
        <w:tcPr>
          <w:tcW w:w="702" w:type="dxa"/>
          <w:vAlign w:val="bottom"/>
        </w:tcPr>
        <w:p w14:paraId="5DB0161E" w14:textId="77777777" w:rsidR="00DB5C19" w:rsidRPr="00DE40CC" w:rsidRDefault="00DB5C19" w:rsidP="00DB5C19">
          <w:pPr>
            <w:pStyle w:val="Footer"/>
            <w:jc w:val="right"/>
            <w:rPr>
              <w:rStyle w:val="Green"/>
              <w:b/>
              <w:bCs/>
            </w:rPr>
          </w:pPr>
          <w:r w:rsidRPr="00DE40CC">
            <w:rPr>
              <w:rStyle w:val="Green"/>
              <w:b/>
              <w:bCs/>
            </w:rPr>
            <w:fldChar w:fldCharType="begin"/>
          </w:r>
          <w:r w:rsidRPr="00DE40CC">
            <w:rPr>
              <w:rStyle w:val="Green"/>
              <w:b/>
              <w:bCs/>
            </w:rPr>
            <w:instrText xml:space="preserve"> PAGE   \* MERGEFORMAT </w:instrText>
          </w:r>
          <w:r w:rsidRPr="00DE40CC">
            <w:rPr>
              <w:rStyle w:val="Green"/>
              <w:b/>
              <w:bCs/>
            </w:rPr>
            <w:fldChar w:fldCharType="separate"/>
          </w:r>
          <w:r w:rsidRPr="00DE40CC">
            <w:rPr>
              <w:rStyle w:val="Green"/>
              <w:b/>
              <w:bCs/>
            </w:rPr>
            <w:t>2</w:t>
          </w:r>
          <w:r w:rsidRPr="00DE40CC">
            <w:rPr>
              <w:rStyle w:val="Green"/>
              <w:b/>
              <w:bCs/>
            </w:rPr>
            <w:fldChar w:fldCharType="end"/>
          </w:r>
        </w:p>
      </w:tc>
    </w:tr>
  </w:tbl>
  <w:p w14:paraId="7E52D354" w14:textId="77777777" w:rsidR="00DB5C19" w:rsidRPr="00DE40CC" w:rsidRDefault="00DB5C19" w:rsidP="00DB5C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19C725" w14:textId="77777777" w:rsidR="00BA507A" w:rsidRPr="00DE40CC" w:rsidRDefault="00BA507A" w:rsidP="00931CFB">
      <w:pPr>
        <w:spacing w:after="0"/>
      </w:pPr>
      <w:r w:rsidRPr="00DE40CC">
        <w:separator/>
      </w:r>
    </w:p>
  </w:footnote>
  <w:footnote w:type="continuationSeparator" w:id="0">
    <w:p w14:paraId="5D1857ED" w14:textId="77777777" w:rsidR="00BA507A" w:rsidRPr="00DE40CC" w:rsidRDefault="00BA507A" w:rsidP="00931CFB">
      <w:pPr>
        <w:spacing w:after="0"/>
      </w:pPr>
      <w:r w:rsidRPr="00DE40CC">
        <w:continuationSeparator/>
      </w:r>
    </w:p>
  </w:footnote>
  <w:footnote w:type="continuationNotice" w:id="1">
    <w:p w14:paraId="267717DD" w14:textId="77777777" w:rsidR="00BA507A" w:rsidRPr="00DE40CC" w:rsidRDefault="00BA507A">
      <w:pPr>
        <w:spacing w:after="0"/>
      </w:pPr>
    </w:p>
  </w:footnote>
  <w:footnote w:id="2">
    <w:p w14:paraId="40D795D4" w14:textId="77777777" w:rsidR="00FB2279" w:rsidRDefault="00FB2279" w:rsidP="00FB2279">
      <w:pPr>
        <w:pStyle w:val="FootnoteText"/>
      </w:pPr>
      <w:r>
        <w:rPr>
          <w:rStyle w:val="FootnoteReference"/>
        </w:rPr>
        <w:footnoteRef/>
      </w:r>
      <w:r>
        <w:t xml:space="preserve"> The Investment Association: </w:t>
      </w:r>
      <w:hyperlink r:id="rId1" w:history="1">
        <w:r w:rsidRPr="00563626">
          <w:rPr>
            <w:rStyle w:val="Hyperlink"/>
            <w:i/>
            <w:iCs/>
          </w:rPr>
          <w:t>Artificial Intelligence: Current and Future Usage within Investment Management</w:t>
        </w:r>
      </w:hyperlink>
      <w:r>
        <w:t xml:space="preserve"> October 2024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A0DD0" w14:textId="539B9653" w:rsidR="00807BE6" w:rsidRDefault="00807B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C2543"/>
    <w:multiLevelType w:val="multilevel"/>
    <w:tmpl w:val="E2382002"/>
    <w:styleLink w:val="NumberedHeadings"/>
    <w:lvl w:ilvl="0">
      <w:start w:val="1"/>
      <w:numFmt w:val="decimal"/>
      <w:pStyle w:val="NumberedHeading3"/>
      <w:lvlText w:val="%1."/>
      <w:lvlJc w:val="left"/>
      <w:pPr>
        <w:ind w:left="397" w:hanging="397"/>
      </w:pPr>
      <w:rPr>
        <w:rFonts w:hint="default"/>
      </w:rPr>
    </w:lvl>
    <w:lvl w:ilvl="1">
      <w:start w:val="1"/>
      <w:numFmt w:val="decimal"/>
      <w:pStyle w:val="NumberedBodyText"/>
      <w:lvlText w:val="%1.%2."/>
      <w:lvlJc w:val="left"/>
      <w:pPr>
        <w:ind w:left="397" w:hanging="397"/>
      </w:pPr>
      <w:rPr>
        <w:rFonts w:hint="default"/>
      </w:rPr>
    </w:lvl>
    <w:lvl w:ilvl="2">
      <w:start w:val="1"/>
      <w:numFmt w:val="none"/>
      <w:lvlText w:val=""/>
      <w:lvlJc w:val="left"/>
      <w:pPr>
        <w:ind w:left="397" w:hanging="397"/>
      </w:pPr>
      <w:rPr>
        <w:rFonts w:hint="default"/>
      </w:rPr>
    </w:lvl>
    <w:lvl w:ilvl="3">
      <w:start w:val="1"/>
      <w:numFmt w:val="none"/>
      <w:lvlText w:val=""/>
      <w:lvlJc w:val="left"/>
      <w:pPr>
        <w:ind w:left="397" w:hanging="397"/>
      </w:pPr>
      <w:rPr>
        <w:rFonts w:hint="default"/>
      </w:rPr>
    </w:lvl>
    <w:lvl w:ilvl="4">
      <w:start w:val="1"/>
      <w:numFmt w:val="none"/>
      <w:lvlText w:val=""/>
      <w:lvlJc w:val="left"/>
      <w:pPr>
        <w:ind w:left="397" w:hanging="397"/>
      </w:pPr>
      <w:rPr>
        <w:rFonts w:hint="default"/>
      </w:rPr>
    </w:lvl>
    <w:lvl w:ilvl="5">
      <w:start w:val="1"/>
      <w:numFmt w:val="none"/>
      <w:lvlText w:val=""/>
      <w:lvlJc w:val="left"/>
      <w:pPr>
        <w:ind w:left="397" w:hanging="397"/>
      </w:pPr>
      <w:rPr>
        <w:rFonts w:hint="default"/>
      </w:rPr>
    </w:lvl>
    <w:lvl w:ilvl="6">
      <w:start w:val="1"/>
      <w:numFmt w:val="none"/>
      <w:lvlText w:val=""/>
      <w:lvlJc w:val="left"/>
      <w:pPr>
        <w:ind w:left="397" w:hanging="397"/>
      </w:pPr>
      <w:rPr>
        <w:rFonts w:hint="default"/>
      </w:rPr>
    </w:lvl>
    <w:lvl w:ilvl="7">
      <w:start w:val="1"/>
      <w:numFmt w:val="none"/>
      <w:lvlText w:val=""/>
      <w:lvlJc w:val="left"/>
      <w:pPr>
        <w:ind w:left="397" w:hanging="397"/>
      </w:pPr>
      <w:rPr>
        <w:rFonts w:hint="default"/>
      </w:rPr>
    </w:lvl>
    <w:lvl w:ilvl="8">
      <w:start w:val="1"/>
      <w:numFmt w:val="none"/>
      <w:lvlText w:val=""/>
      <w:lvlJc w:val="left"/>
      <w:pPr>
        <w:ind w:left="397" w:hanging="397"/>
      </w:pPr>
      <w:rPr>
        <w:rFonts w:hint="default"/>
      </w:rPr>
    </w:lvl>
  </w:abstractNum>
  <w:abstractNum w:abstractNumId="1" w15:restartNumberingAfterBreak="0">
    <w:nsid w:val="015953F6"/>
    <w:multiLevelType w:val="multilevel"/>
    <w:tmpl w:val="93ACC0CA"/>
    <w:numStyleLink w:val="default"/>
  </w:abstractNum>
  <w:abstractNum w:abstractNumId="2" w15:restartNumberingAfterBreak="0">
    <w:nsid w:val="01A97155"/>
    <w:multiLevelType w:val="hybridMultilevel"/>
    <w:tmpl w:val="1FC64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EC4E76"/>
    <w:multiLevelType w:val="multilevel"/>
    <w:tmpl w:val="E2382002"/>
    <w:numStyleLink w:val="NumberedHeadings"/>
  </w:abstractNum>
  <w:abstractNum w:abstractNumId="4" w15:restartNumberingAfterBreak="0">
    <w:nsid w:val="0FBE3126"/>
    <w:multiLevelType w:val="multilevel"/>
    <w:tmpl w:val="92AEA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1212C8"/>
    <w:multiLevelType w:val="multilevel"/>
    <w:tmpl w:val="93ACC0CA"/>
    <w:numStyleLink w:val="default"/>
  </w:abstractNum>
  <w:abstractNum w:abstractNumId="6" w15:restartNumberingAfterBreak="0">
    <w:nsid w:val="163F24D5"/>
    <w:multiLevelType w:val="multilevel"/>
    <w:tmpl w:val="1572363C"/>
    <w:numStyleLink w:val="TocNumber"/>
  </w:abstractNum>
  <w:abstractNum w:abstractNumId="7" w15:restartNumberingAfterBreak="0">
    <w:nsid w:val="17E30852"/>
    <w:multiLevelType w:val="hybridMultilevel"/>
    <w:tmpl w:val="999C607A"/>
    <w:lvl w:ilvl="0" w:tplc="8F567868">
      <w:start w:val="5"/>
      <w:numFmt w:val="bullet"/>
      <w:lvlText w:val="-"/>
      <w:lvlJc w:val="left"/>
      <w:pPr>
        <w:ind w:left="720" w:hanging="360"/>
      </w:pPr>
      <w:rPr>
        <w:rFonts w:ascii="Calibri" w:eastAsiaTheme="maj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7948F7"/>
    <w:multiLevelType w:val="hybridMultilevel"/>
    <w:tmpl w:val="E66C5C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C40CC0"/>
    <w:multiLevelType w:val="hybridMultilevel"/>
    <w:tmpl w:val="952EA6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57161D"/>
    <w:multiLevelType w:val="hybridMultilevel"/>
    <w:tmpl w:val="F5541D46"/>
    <w:lvl w:ilvl="0" w:tplc="F60A5FAA">
      <w:start w:val="1"/>
      <w:numFmt w:val="bullet"/>
      <w:lvlText w:val=""/>
      <w:lvlJc w:val="left"/>
      <w:pPr>
        <w:ind w:left="720" w:hanging="360"/>
      </w:pPr>
      <w:rPr>
        <w:rFonts w:ascii="Symbol" w:hAnsi="Symbol" w:hint="default"/>
        <w:color w:val="27B88C"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D617A7"/>
    <w:multiLevelType w:val="hybridMultilevel"/>
    <w:tmpl w:val="2FFAD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986A90"/>
    <w:multiLevelType w:val="hybridMultilevel"/>
    <w:tmpl w:val="CBB44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4EE6618"/>
    <w:multiLevelType w:val="hybridMultilevel"/>
    <w:tmpl w:val="C9A419DA"/>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4" w15:restartNumberingAfterBreak="0">
    <w:nsid w:val="268A2A98"/>
    <w:multiLevelType w:val="multilevel"/>
    <w:tmpl w:val="1572363C"/>
    <w:styleLink w:val="TocNumber"/>
    <w:lvl w:ilvl="0">
      <w:start w:val="1"/>
      <w:numFmt w:val="decimalZero"/>
      <w:lvlText w:val="%1"/>
      <w:lvlJc w:val="left"/>
      <w:pPr>
        <w:ind w:left="680" w:hanging="680"/>
      </w:pPr>
      <w:rPr>
        <w:rFonts w:hint="default"/>
        <w:b/>
        <w:i w:val="0"/>
        <w:color w:val="27B88C" w:themeColor="accent2"/>
        <w:sz w:val="44"/>
      </w:rPr>
    </w:lvl>
    <w:lvl w:ilvl="1">
      <w:start w:val="1"/>
      <w:numFmt w:val="none"/>
      <w:lvlText w:val=""/>
      <w:lvlJc w:val="left"/>
      <w:pPr>
        <w:ind w:left="680" w:hanging="680"/>
      </w:pPr>
      <w:rPr>
        <w:rFonts w:hint="default"/>
      </w:rPr>
    </w:lvl>
    <w:lvl w:ilvl="2">
      <w:start w:val="1"/>
      <w:numFmt w:val="none"/>
      <w:lvlText w:val=""/>
      <w:lvlJc w:val="left"/>
      <w:pPr>
        <w:ind w:left="680" w:hanging="680"/>
      </w:pPr>
      <w:rPr>
        <w:rFonts w:hint="default"/>
      </w:rPr>
    </w:lvl>
    <w:lvl w:ilvl="3">
      <w:start w:val="1"/>
      <w:numFmt w:val="none"/>
      <w:lvlText w:val=""/>
      <w:lvlJc w:val="left"/>
      <w:pPr>
        <w:ind w:left="680" w:hanging="680"/>
      </w:pPr>
      <w:rPr>
        <w:rFonts w:hint="default"/>
      </w:rPr>
    </w:lvl>
    <w:lvl w:ilvl="4">
      <w:start w:val="1"/>
      <w:numFmt w:val="none"/>
      <w:lvlText w:val=""/>
      <w:lvlJc w:val="left"/>
      <w:pPr>
        <w:ind w:left="680" w:hanging="680"/>
      </w:pPr>
      <w:rPr>
        <w:rFonts w:hint="default"/>
      </w:rPr>
    </w:lvl>
    <w:lvl w:ilvl="5">
      <w:start w:val="1"/>
      <w:numFmt w:val="none"/>
      <w:lvlText w:val=""/>
      <w:lvlJc w:val="left"/>
      <w:pPr>
        <w:ind w:left="680" w:hanging="680"/>
      </w:pPr>
      <w:rPr>
        <w:rFonts w:hint="default"/>
      </w:rPr>
    </w:lvl>
    <w:lvl w:ilvl="6">
      <w:start w:val="1"/>
      <w:numFmt w:val="none"/>
      <w:lvlText w:val=""/>
      <w:lvlJc w:val="left"/>
      <w:pPr>
        <w:ind w:left="680" w:hanging="680"/>
      </w:pPr>
      <w:rPr>
        <w:rFonts w:hint="default"/>
      </w:rPr>
    </w:lvl>
    <w:lvl w:ilvl="7">
      <w:start w:val="1"/>
      <w:numFmt w:val="none"/>
      <w:lvlText w:val=""/>
      <w:lvlJc w:val="left"/>
      <w:pPr>
        <w:ind w:left="680" w:hanging="680"/>
      </w:pPr>
      <w:rPr>
        <w:rFonts w:hint="default"/>
      </w:rPr>
    </w:lvl>
    <w:lvl w:ilvl="8">
      <w:start w:val="1"/>
      <w:numFmt w:val="none"/>
      <w:lvlText w:val=""/>
      <w:lvlJc w:val="left"/>
      <w:pPr>
        <w:ind w:left="680" w:hanging="680"/>
      </w:pPr>
      <w:rPr>
        <w:rFonts w:hint="default"/>
      </w:rPr>
    </w:lvl>
  </w:abstractNum>
  <w:abstractNum w:abstractNumId="15" w15:restartNumberingAfterBreak="0">
    <w:nsid w:val="27A4046D"/>
    <w:multiLevelType w:val="multilevel"/>
    <w:tmpl w:val="FA2E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917FE9"/>
    <w:multiLevelType w:val="hybridMultilevel"/>
    <w:tmpl w:val="87D8F83A"/>
    <w:lvl w:ilvl="0" w:tplc="D6DAE2F2">
      <w:start w:val="1"/>
      <w:numFmt w:val="bullet"/>
      <w:lvlText w:val=""/>
      <w:lvlJc w:val="left"/>
      <w:pPr>
        <w:ind w:left="720" w:hanging="360"/>
      </w:pPr>
      <w:rPr>
        <w:rFonts w:ascii="Symbol" w:hAnsi="Symbol" w:hint="default"/>
        <w:color w:val="27B88C"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3FF74E1"/>
    <w:multiLevelType w:val="multilevel"/>
    <w:tmpl w:val="93ACC0CA"/>
    <w:styleLink w:val="default"/>
    <w:lvl w:ilvl="0">
      <w:start w:val="1"/>
      <w:numFmt w:val="none"/>
      <w:lvlText w:val=""/>
      <w:lvlJc w:val="left"/>
      <w:pPr>
        <w:ind w:left="284" w:hanging="284"/>
      </w:pPr>
      <w:rPr>
        <w:rFonts w:hint="default"/>
      </w:rPr>
    </w:lvl>
    <w:lvl w:ilvl="1">
      <w:start w:val="1"/>
      <w:numFmt w:val="none"/>
      <w:lvlText w:val=""/>
      <w:lvlJc w:val="left"/>
      <w:pPr>
        <w:ind w:left="568" w:hanging="284"/>
      </w:pPr>
      <w:rPr>
        <w:rFonts w:hint="default"/>
      </w:rPr>
    </w:lvl>
    <w:lvl w:ilvl="2">
      <w:start w:val="1"/>
      <w:numFmt w:val="none"/>
      <w:lvlText w:val=""/>
      <w:lvlJc w:val="left"/>
      <w:pPr>
        <w:ind w:left="852" w:hanging="284"/>
      </w:pPr>
      <w:rPr>
        <w:rFonts w:hint="default"/>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1" w:hanging="281"/>
      </w:pPr>
      <w:rPr>
        <w:rFonts w:hint="default"/>
      </w:rPr>
    </w:lvl>
    <w:lvl w:ilvl="6">
      <w:start w:val="1"/>
      <w:numFmt w:val="none"/>
      <w:lvlText w:val=""/>
      <w:lvlJc w:val="left"/>
      <w:pPr>
        <w:ind w:left="1985" w:hanging="284"/>
      </w:pPr>
      <w:rPr>
        <w:rFonts w:hint="default"/>
      </w:rPr>
    </w:lvl>
    <w:lvl w:ilvl="7">
      <w:start w:val="1"/>
      <w:numFmt w:val="none"/>
      <w:lvlText w:val=""/>
      <w:lvlJc w:val="left"/>
      <w:pPr>
        <w:ind w:left="2268" w:hanging="283"/>
      </w:pPr>
      <w:rPr>
        <w:rFonts w:hint="default"/>
      </w:rPr>
    </w:lvl>
    <w:lvl w:ilvl="8">
      <w:start w:val="1"/>
      <w:numFmt w:val="none"/>
      <w:lvlText w:val=""/>
      <w:lvlJc w:val="left"/>
      <w:pPr>
        <w:ind w:left="2552" w:hanging="284"/>
      </w:pPr>
      <w:rPr>
        <w:rFonts w:hint="default"/>
      </w:rPr>
    </w:lvl>
  </w:abstractNum>
  <w:abstractNum w:abstractNumId="18" w15:restartNumberingAfterBreak="0">
    <w:nsid w:val="35CA4638"/>
    <w:multiLevelType w:val="hybridMultilevel"/>
    <w:tmpl w:val="FEC6AF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9757346"/>
    <w:multiLevelType w:val="hybridMultilevel"/>
    <w:tmpl w:val="DA547F64"/>
    <w:lvl w:ilvl="0" w:tplc="D6DAE2F2">
      <w:start w:val="1"/>
      <w:numFmt w:val="bullet"/>
      <w:lvlText w:val=""/>
      <w:lvlJc w:val="left"/>
      <w:pPr>
        <w:ind w:left="360" w:hanging="360"/>
      </w:pPr>
      <w:rPr>
        <w:rFonts w:ascii="Symbol" w:hAnsi="Symbol" w:hint="default"/>
        <w:color w:val="27B88C" w:themeColor="accent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0" w15:restartNumberingAfterBreak="0">
    <w:nsid w:val="3C764B6D"/>
    <w:multiLevelType w:val="hybridMultilevel"/>
    <w:tmpl w:val="CE5EA4B8"/>
    <w:lvl w:ilvl="0" w:tplc="4524EA2A">
      <w:start w:val="1"/>
      <w:numFmt w:val="bullet"/>
      <w:lvlText w:val=""/>
      <w:lvlJc w:val="left"/>
      <w:pPr>
        <w:ind w:left="284" w:hanging="28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D290D7D"/>
    <w:multiLevelType w:val="hybridMultilevel"/>
    <w:tmpl w:val="69C06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0A40441"/>
    <w:multiLevelType w:val="hybridMultilevel"/>
    <w:tmpl w:val="D9646C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197FE0"/>
    <w:multiLevelType w:val="multilevel"/>
    <w:tmpl w:val="03120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147732"/>
    <w:multiLevelType w:val="multilevel"/>
    <w:tmpl w:val="37BEBDE4"/>
    <w:numStyleLink w:val="Bullets"/>
  </w:abstractNum>
  <w:abstractNum w:abstractNumId="25" w15:restartNumberingAfterBreak="0">
    <w:nsid w:val="48E95A60"/>
    <w:multiLevelType w:val="multilevel"/>
    <w:tmpl w:val="D6AE7A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BDE35ED"/>
    <w:multiLevelType w:val="multilevel"/>
    <w:tmpl w:val="F7D8C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174F60"/>
    <w:multiLevelType w:val="hybridMultilevel"/>
    <w:tmpl w:val="A5EAA4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A739F2"/>
    <w:multiLevelType w:val="hybridMultilevel"/>
    <w:tmpl w:val="7EC01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1A27C9D"/>
    <w:multiLevelType w:val="hybridMultilevel"/>
    <w:tmpl w:val="D958B3E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30" w15:restartNumberingAfterBreak="0">
    <w:nsid w:val="51E463F7"/>
    <w:multiLevelType w:val="multilevel"/>
    <w:tmpl w:val="93ACC0CA"/>
    <w:numStyleLink w:val="default"/>
  </w:abstractNum>
  <w:abstractNum w:abstractNumId="31" w15:restartNumberingAfterBreak="0">
    <w:nsid w:val="59BB34A4"/>
    <w:multiLevelType w:val="hybridMultilevel"/>
    <w:tmpl w:val="8B8C0BB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5C7364BA"/>
    <w:multiLevelType w:val="hybridMultilevel"/>
    <w:tmpl w:val="EDC2D3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DCF2083"/>
    <w:multiLevelType w:val="hybridMultilevel"/>
    <w:tmpl w:val="E844F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138646E"/>
    <w:multiLevelType w:val="multilevel"/>
    <w:tmpl w:val="3ACC1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2C84E99"/>
    <w:multiLevelType w:val="hybridMultilevel"/>
    <w:tmpl w:val="15D62FFC"/>
    <w:lvl w:ilvl="0" w:tplc="08090001">
      <w:start w:val="1"/>
      <w:numFmt w:val="bullet"/>
      <w:lvlText w:val=""/>
      <w:lvlJc w:val="left"/>
      <w:pPr>
        <w:ind w:left="720" w:hanging="360"/>
      </w:pPr>
      <w:rPr>
        <w:rFonts w:ascii="Symbol" w:hAnsi="Symbol" w:hint="default"/>
        <w:color w:val="27B88C"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66F165C1"/>
    <w:multiLevelType w:val="multilevel"/>
    <w:tmpl w:val="37BEBDE4"/>
    <w:styleLink w:val="Bullets"/>
    <w:lvl w:ilvl="0">
      <w:start w:val="1"/>
      <w:numFmt w:val="bullet"/>
      <w:lvlText w:val=""/>
      <w:lvlJc w:val="left"/>
      <w:pPr>
        <w:ind w:left="284" w:hanging="284"/>
      </w:pPr>
      <w:rPr>
        <w:rFonts w:ascii="Symbol" w:hAnsi="Symbol" w:hint="default"/>
        <w:color w:val="27B88C" w:themeColor="accent2"/>
      </w:rPr>
    </w:lvl>
    <w:lvl w:ilvl="1">
      <w:start w:val="1"/>
      <w:numFmt w:val="bullet"/>
      <w:lvlText w:val=""/>
      <w:lvlJc w:val="left"/>
      <w:pPr>
        <w:ind w:left="568" w:hanging="284"/>
      </w:pPr>
      <w:rPr>
        <w:rFonts w:ascii="Symbol" w:hAnsi="Symbol" w:hint="default"/>
        <w:color w:val="27B88C" w:themeColor="accent2"/>
      </w:rPr>
    </w:lvl>
    <w:lvl w:ilvl="2">
      <w:start w:val="1"/>
      <w:numFmt w:val="bullet"/>
      <w:lvlText w:val=""/>
      <w:lvlJc w:val="left"/>
      <w:pPr>
        <w:ind w:left="852" w:hanging="284"/>
      </w:pPr>
      <w:rPr>
        <w:rFonts w:ascii="Symbol" w:hAnsi="Symbol" w:hint="default"/>
        <w:color w:val="27B88C" w:themeColor="accent2"/>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1" w:hanging="281"/>
      </w:pPr>
      <w:rPr>
        <w:rFonts w:hint="default"/>
      </w:rPr>
    </w:lvl>
    <w:lvl w:ilvl="6">
      <w:start w:val="1"/>
      <w:numFmt w:val="none"/>
      <w:lvlText w:val=""/>
      <w:lvlJc w:val="left"/>
      <w:pPr>
        <w:ind w:left="1985" w:hanging="284"/>
      </w:pPr>
      <w:rPr>
        <w:rFonts w:hint="default"/>
      </w:rPr>
    </w:lvl>
    <w:lvl w:ilvl="7">
      <w:start w:val="1"/>
      <w:numFmt w:val="none"/>
      <w:lvlText w:val=""/>
      <w:lvlJc w:val="left"/>
      <w:pPr>
        <w:ind w:left="2268" w:hanging="283"/>
      </w:pPr>
      <w:rPr>
        <w:rFonts w:hint="default"/>
      </w:rPr>
    </w:lvl>
    <w:lvl w:ilvl="8">
      <w:start w:val="1"/>
      <w:numFmt w:val="none"/>
      <w:lvlText w:val=""/>
      <w:lvlJc w:val="left"/>
      <w:pPr>
        <w:ind w:left="2552" w:hanging="284"/>
      </w:pPr>
      <w:rPr>
        <w:rFonts w:hint="default"/>
      </w:rPr>
    </w:lvl>
  </w:abstractNum>
  <w:abstractNum w:abstractNumId="37" w15:restartNumberingAfterBreak="0">
    <w:nsid w:val="686F461D"/>
    <w:multiLevelType w:val="hybridMultilevel"/>
    <w:tmpl w:val="02C493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9EC49E9"/>
    <w:multiLevelType w:val="multilevel"/>
    <w:tmpl w:val="5E8210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AC96B3D"/>
    <w:multiLevelType w:val="multilevel"/>
    <w:tmpl w:val="37BEBDE4"/>
    <w:numStyleLink w:val="Bullets"/>
  </w:abstractNum>
  <w:abstractNum w:abstractNumId="40" w15:restartNumberingAfterBreak="0">
    <w:nsid w:val="6C2C3117"/>
    <w:multiLevelType w:val="multilevel"/>
    <w:tmpl w:val="FC42F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EA45D50"/>
    <w:multiLevelType w:val="hybridMultilevel"/>
    <w:tmpl w:val="FAB222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EC0151F"/>
    <w:multiLevelType w:val="multilevel"/>
    <w:tmpl w:val="1572363C"/>
    <w:numStyleLink w:val="TocNumber"/>
  </w:abstractNum>
  <w:abstractNum w:abstractNumId="43" w15:restartNumberingAfterBreak="0">
    <w:nsid w:val="775D6EBA"/>
    <w:multiLevelType w:val="hybridMultilevel"/>
    <w:tmpl w:val="2ACAEC9C"/>
    <w:lvl w:ilvl="0" w:tplc="0809000B">
      <w:start w:val="1"/>
      <w:numFmt w:val="bullet"/>
      <w:lvlText w:val=""/>
      <w:lvlJc w:val="left"/>
      <w:pPr>
        <w:ind w:left="3600" w:hanging="360"/>
      </w:pPr>
      <w:rPr>
        <w:rFonts w:ascii="Wingdings" w:hAnsi="Wingdings"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44" w15:restartNumberingAfterBreak="0">
    <w:nsid w:val="78675352"/>
    <w:multiLevelType w:val="hybridMultilevel"/>
    <w:tmpl w:val="6D3ACE2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5" w15:restartNumberingAfterBreak="0">
    <w:nsid w:val="78CD3166"/>
    <w:multiLevelType w:val="hybridMultilevel"/>
    <w:tmpl w:val="A9908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A1F503D"/>
    <w:multiLevelType w:val="multilevel"/>
    <w:tmpl w:val="6AA6D21A"/>
    <w:styleLink w:val="Numberbullets"/>
    <w:lvl w:ilvl="0">
      <w:start w:val="1"/>
      <w:numFmt w:val="decimal"/>
      <w:pStyle w:val="NumberBullet1"/>
      <w:lvlText w:val="%1."/>
      <w:lvlJc w:val="left"/>
      <w:pPr>
        <w:ind w:left="284" w:hanging="284"/>
      </w:pPr>
      <w:rPr>
        <w:rFonts w:hint="default"/>
      </w:rPr>
    </w:lvl>
    <w:lvl w:ilvl="1">
      <w:start w:val="1"/>
      <w:numFmt w:val="lowerLetter"/>
      <w:pStyle w:val="NumberBullet2"/>
      <w:lvlText w:val="%2."/>
      <w:lvlJc w:val="left"/>
      <w:pPr>
        <w:ind w:left="568" w:hanging="284"/>
      </w:pPr>
      <w:rPr>
        <w:rFonts w:hint="default"/>
      </w:rPr>
    </w:lvl>
    <w:lvl w:ilvl="2">
      <w:start w:val="1"/>
      <w:numFmt w:val="lowerRoman"/>
      <w:lvlText w:val="%3."/>
      <w:lvlJc w:val="left"/>
      <w:pPr>
        <w:ind w:left="852" w:hanging="284"/>
      </w:pPr>
      <w:rPr>
        <w:rFonts w:hint="default"/>
      </w:rPr>
    </w:lvl>
    <w:lvl w:ilvl="3">
      <w:start w:val="1"/>
      <w:numFmt w:val="none"/>
      <w:lvlText w:val=""/>
      <w:lvlJc w:val="left"/>
      <w:pPr>
        <w:ind w:left="1136" w:hanging="284"/>
      </w:pPr>
      <w:rPr>
        <w:rFonts w:hint="default"/>
      </w:rPr>
    </w:lvl>
    <w:lvl w:ilvl="4">
      <w:start w:val="1"/>
      <w:numFmt w:val="none"/>
      <w:lvlText w:val=""/>
      <w:lvlJc w:val="left"/>
      <w:pPr>
        <w:ind w:left="1420" w:hanging="284"/>
      </w:pPr>
      <w:rPr>
        <w:rFonts w:hint="default"/>
      </w:rPr>
    </w:lvl>
    <w:lvl w:ilvl="5">
      <w:start w:val="1"/>
      <w:numFmt w:val="none"/>
      <w:lvlText w:val=""/>
      <w:lvlJc w:val="left"/>
      <w:pPr>
        <w:ind w:left="1701" w:hanging="281"/>
      </w:pPr>
      <w:rPr>
        <w:rFonts w:hint="default"/>
      </w:rPr>
    </w:lvl>
    <w:lvl w:ilvl="6">
      <w:start w:val="1"/>
      <w:numFmt w:val="none"/>
      <w:lvlText w:val=""/>
      <w:lvlJc w:val="left"/>
      <w:pPr>
        <w:ind w:left="1985" w:hanging="284"/>
      </w:pPr>
      <w:rPr>
        <w:rFonts w:hint="default"/>
      </w:rPr>
    </w:lvl>
    <w:lvl w:ilvl="7">
      <w:start w:val="1"/>
      <w:numFmt w:val="none"/>
      <w:lvlText w:val=""/>
      <w:lvlJc w:val="left"/>
      <w:pPr>
        <w:ind w:left="2268" w:hanging="283"/>
      </w:pPr>
      <w:rPr>
        <w:rFonts w:hint="default"/>
      </w:rPr>
    </w:lvl>
    <w:lvl w:ilvl="8">
      <w:start w:val="1"/>
      <w:numFmt w:val="none"/>
      <w:lvlText w:val=""/>
      <w:lvlJc w:val="left"/>
      <w:pPr>
        <w:ind w:left="2552" w:hanging="284"/>
      </w:pPr>
      <w:rPr>
        <w:rFonts w:hint="default"/>
      </w:rPr>
    </w:lvl>
  </w:abstractNum>
  <w:abstractNum w:abstractNumId="47" w15:restartNumberingAfterBreak="0">
    <w:nsid w:val="7A4C10BC"/>
    <w:multiLevelType w:val="multilevel"/>
    <w:tmpl w:val="5DE6A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B0125A8"/>
    <w:multiLevelType w:val="hybridMultilevel"/>
    <w:tmpl w:val="AEB86366"/>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49" w15:restartNumberingAfterBreak="0">
    <w:nsid w:val="7B2872DF"/>
    <w:multiLevelType w:val="hybridMultilevel"/>
    <w:tmpl w:val="2AF43CD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0" w15:restartNumberingAfterBreak="0">
    <w:nsid w:val="7C23157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7F705286"/>
    <w:multiLevelType w:val="multilevel"/>
    <w:tmpl w:val="643E0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FFA7D49"/>
    <w:multiLevelType w:val="hybridMultilevel"/>
    <w:tmpl w:val="B56A15E2"/>
    <w:lvl w:ilvl="0" w:tplc="BFE67E62">
      <w:start w:val="1"/>
      <w:numFmt w:val="bullet"/>
      <w:lvlText w:val="o"/>
      <w:lvlJc w:val="left"/>
      <w:pPr>
        <w:ind w:left="720" w:hanging="360"/>
      </w:pPr>
      <w:rPr>
        <w:rFonts w:ascii="Courier New" w:hAnsi="Courier New" w:hint="default"/>
        <w:color w:val="27B88C" w:themeColor="accent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435251909">
    <w:abstractNumId w:val="27"/>
  </w:num>
  <w:num w:numId="2" w16cid:durableId="1679114883">
    <w:abstractNumId w:val="20"/>
  </w:num>
  <w:num w:numId="3" w16cid:durableId="2070958737">
    <w:abstractNumId w:val="17"/>
  </w:num>
  <w:num w:numId="4" w16cid:durableId="1297564514">
    <w:abstractNumId w:val="30"/>
  </w:num>
  <w:num w:numId="5" w16cid:durableId="648290959">
    <w:abstractNumId w:val="1"/>
  </w:num>
  <w:num w:numId="6" w16cid:durableId="172696387">
    <w:abstractNumId w:val="45"/>
  </w:num>
  <w:num w:numId="7" w16cid:durableId="383598724">
    <w:abstractNumId w:val="36"/>
  </w:num>
  <w:num w:numId="8" w16cid:durableId="153630630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37740759">
    <w:abstractNumId w:val="46"/>
  </w:num>
  <w:num w:numId="10" w16cid:durableId="59717658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3634653">
    <w:abstractNumId w:val="0"/>
  </w:num>
  <w:num w:numId="12" w16cid:durableId="1191498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00159410">
    <w:abstractNumId w:val="3"/>
  </w:num>
  <w:num w:numId="14" w16cid:durableId="539561406">
    <w:abstractNumId w:val="37"/>
  </w:num>
  <w:num w:numId="15" w16cid:durableId="1543518367">
    <w:abstractNumId w:val="32"/>
  </w:num>
  <w:num w:numId="16" w16cid:durableId="408578280">
    <w:abstractNumId w:val="24"/>
  </w:num>
  <w:num w:numId="17" w16cid:durableId="1610314705">
    <w:abstractNumId w:val="39"/>
    <w:lvlOverride w:ilvl="0">
      <w:lvl w:ilvl="0">
        <w:start w:val="1"/>
        <w:numFmt w:val="bullet"/>
        <w:lvlText w:val=""/>
        <w:lvlJc w:val="left"/>
        <w:pPr>
          <w:ind w:left="284" w:hanging="284"/>
        </w:pPr>
        <w:rPr>
          <w:rFonts w:ascii="Symbol" w:hAnsi="Symbol" w:hint="default"/>
          <w:color w:val="27B88C" w:themeColor="accent2"/>
        </w:rPr>
      </w:lvl>
    </w:lvlOverride>
  </w:num>
  <w:num w:numId="18" w16cid:durableId="733163366">
    <w:abstractNumId w:val="8"/>
  </w:num>
  <w:num w:numId="19" w16cid:durableId="581910192">
    <w:abstractNumId w:val="13"/>
  </w:num>
  <w:num w:numId="20" w16cid:durableId="1892425585">
    <w:abstractNumId w:val="49"/>
  </w:num>
  <w:num w:numId="21" w16cid:durableId="371418624">
    <w:abstractNumId w:val="28"/>
  </w:num>
  <w:num w:numId="22" w16cid:durableId="389116473">
    <w:abstractNumId w:val="21"/>
  </w:num>
  <w:num w:numId="23" w16cid:durableId="1220943695">
    <w:abstractNumId w:val="22"/>
  </w:num>
  <w:num w:numId="24" w16cid:durableId="243613543">
    <w:abstractNumId w:val="5"/>
  </w:num>
  <w:num w:numId="25" w16cid:durableId="1830245348">
    <w:abstractNumId w:val="12"/>
  </w:num>
  <w:num w:numId="26" w16cid:durableId="858353601">
    <w:abstractNumId w:val="2"/>
  </w:num>
  <w:num w:numId="27" w16cid:durableId="1674142956">
    <w:abstractNumId w:val="41"/>
  </w:num>
  <w:num w:numId="28" w16cid:durableId="779958954">
    <w:abstractNumId w:val="33"/>
  </w:num>
  <w:num w:numId="29" w16cid:durableId="2122677102">
    <w:abstractNumId w:val="50"/>
  </w:num>
  <w:num w:numId="30" w16cid:durableId="1234438022">
    <w:abstractNumId w:val="14"/>
  </w:num>
  <w:num w:numId="31" w16cid:durableId="1938177625">
    <w:abstractNumId w:val="6"/>
  </w:num>
  <w:num w:numId="32" w16cid:durableId="764769517">
    <w:abstractNumId w:val="42"/>
  </w:num>
  <w:num w:numId="33" w16cid:durableId="1751804399">
    <w:abstractNumId w:val="26"/>
  </w:num>
  <w:num w:numId="34" w16cid:durableId="1571117144">
    <w:abstractNumId w:val="34"/>
  </w:num>
  <w:num w:numId="35" w16cid:durableId="278267045">
    <w:abstractNumId w:val="35"/>
  </w:num>
  <w:num w:numId="36" w16cid:durableId="1999964524">
    <w:abstractNumId w:val="16"/>
  </w:num>
  <w:num w:numId="37" w16cid:durableId="2011441731">
    <w:abstractNumId w:val="26"/>
  </w:num>
  <w:num w:numId="38" w16cid:durableId="2021160496">
    <w:abstractNumId w:val="34"/>
  </w:num>
  <w:num w:numId="39" w16cid:durableId="665789744">
    <w:abstractNumId w:val="18"/>
  </w:num>
  <w:num w:numId="40" w16cid:durableId="1141844600">
    <w:abstractNumId w:val="19"/>
  </w:num>
  <w:num w:numId="41" w16cid:durableId="798187478">
    <w:abstractNumId w:val="4"/>
  </w:num>
  <w:num w:numId="42" w16cid:durableId="163135105">
    <w:abstractNumId w:val="40"/>
  </w:num>
  <w:num w:numId="43" w16cid:durableId="59793028">
    <w:abstractNumId w:val="25"/>
  </w:num>
  <w:num w:numId="44" w16cid:durableId="1260337911">
    <w:abstractNumId w:val="7"/>
  </w:num>
  <w:num w:numId="45" w16cid:durableId="347223256">
    <w:abstractNumId w:val="44"/>
  </w:num>
  <w:num w:numId="46" w16cid:durableId="291330972">
    <w:abstractNumId w:val="38"/>
  </w:num>
  <w:num w:numId="47" w16cid:durableId="1657607167">
    <w:abstractNumId w:val="31"/>
  </w:num>
  <w:num w:numId="48" w16cid:durableId="1118329086">
    <w:abstractNumId w:val="29"/>
  </w:num>
  <w:num w:numId="49" w16cid:durableId="173149984">
    <w:abstractNumId w:val="43"/>
  </w:num>
  <w:num w:numId="50" w16cid:durableId="11226993">
    <w:abstractNumId w:val="48"/>
  </w:num>
  <w:num w:numId="51" w16cid:durableId="100270096">
    <w:abstractNumId w:val="10"/>
  </w:num>
  <w:num w:numId="52" w16cid:durableId="710299631">
    <w:abstractNumId w:val="52"/>
  </w:num>
  <w:num w:numId="53" w16cid:durableId="1698771473">
    <w:abstractNumId w:val="15"/>
  </w:num>
  <w:num w:numId="54" w16cid:durableId="208028679">
    <w:abstractNumId w:val="47"/>
  </w:num>
  <w:num w:numId="55" w16cid:durableId="162356508">
    <w:abstractNumId w:val="51"/>
  </w:num>
  <w:num w:numId="56" w16cid:durableId="1099833139">
    <w:abstractNumId w:val="23"/>
  </w:num>
  <w:num w:numId="57" w16cid:durableId="1239094383">
    <w:abstractNumId w:val="9"/>
  </w:num>
  <w:num w:numId="58" w16cid:durableId="231821337">
    <w:abstractNumId w:val="1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2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309"/>
    <w:rsid w:val="00001B7E"/>
    <w:rsid w:val="00002AB2"/>
    <w:rsid w:val="00003DD9"/>
    <w:rsid w:val="00004629"/>
    <w:rsid w:val="000054D7"/>
    <w:rsid w:val="0000790D"/>
    <w:rsid w:val="00010843"/>
    <w:rsid w:val="000109D2"/>
    <w:rsid w:val="00011277"/>
    <w:rsid w:val="00011762"/>
    <w:rsid w:val="000119D1"/>
    <w:rsid w:val="00012199"/>
    <w:rsid w:val="000126DE"/>
    <w:rsid w:val="00012F49"/>
    <w:rsid w:val="00012F81"/>
    <w:rsid w:val="0001528A"/>
    <w:rsid w:val="00015AFE"/>
    <w:rsid w:val="00015BBC"/>
    <w:rsid w:val="00017815"/>
    <w:rsid w:val="00021DD1"/>
    <w:rsid w:val="00024D84"/>
    <w:rsid w:val="000257AF"/>
    <w:rsid w:val="000259AA"/>
    <w:rsid w:val="00025D09"/>
    <w:rsid w:val="0002716F"/>
    <w:rsid w:val="000271BA"/>
    <w:rsid w:val="00027459"/>
    <w:rsid w:val="00031E8A"/>
    <w:rsid w:val="00031F04"/>
    <w:rsid w:val="000366BE"/>
    <w:rsid w:val="000373B9"/>
    <w:rsid w:val="000378EF"/>
    <w:rsid w:val="000379EF"/>
    <w:rsid w:val="00037F22"/>
    <w:rsid w:val="00040814"/>
    <w:rsid w:val="00043E3E"/>
    <w:rsid w:val="0004558D"/>
    <w:rsid w:val="00050583"/>
    <w:rsid w:val="00052E14"/>
    <w:rsid w:val="00052F1B"/>
    <w:rsid w:val="0005350E"/>
    <w:rsid w:val="00053C2A"/>
    <w:rsid w:val="000667E2"/>
    <w:rsid w:val="000675CF"/>
    <w:rsid w:val="000676B8"/>
    <w:rsid w:val="0007050A"/>
    <w:rsid w:val="00072D4C"/>
    <w:rsid w:val="000730D7"/>
    <w:rsid w:val="00073177"/>
    <w:rsid w:val="00073380"/>
    <w:rsid w:val="00073414"/>
    <w:rsid w:val="00074196"/>
    <w:rsid w:val="00074CEC"/>
    <w:rsid w:val="000810E1"/>
    <w:rsid w:val="00081532"/>
    <w:rsid w:val="000834FF"/>
    <w:rsid w:val="0008455B"/>
    <w:rsid w:val="000874CC"/>
    <w:rsid w:val="00090C89"/>
    <w:rsid w:val="00091B52"/>
    <w:rsid w:val="00091E50"/>
    <w:rsid w:val="00091F4A"/>
    <w:rsid w:val="000921FB"/>
    <w:rsid w:val="00092750"/>
    <w:rsid w:val="00093106"/>
    <w:rsid w:val="00095622"/>
    <w:rsid w:val="00096320"/>
    <w:rsid w:val="0009655D"/>
    <w:rsid w:val="000A030C"/>
    <w:rsid w:val="000A07DA"/>
    <w:rsid w:val="000A0850"/>
    <w:rsid w:val="000A284C"/>
    <w:rsid w:val="000A48A7"/>
    <w:rsid w:val="000A5F21"/>
    <w:rsid w:val="000A5FDE"/>
    <w:rsid w:val="000A6A12"/>
    <w:rsid w:val="000B11C3"/>
    <w:rsid w:val="000B13AE"/>
    <w:rsid w:val="000B1E7B"/>
    <w:rsid w:val="000B7335"/>
    <w:rsid w:val="000C0985"/>
    <w:rsid w:val="000C1408"/>
    <w:rsid w:val="000C2083"/>
    <w:rsid w:val="000C340F"/>
    <w:rsid w:val="000C50ED"/>
    <w:rsid w:val="000C5A27"/>
    <w:rsid w:val="000C6378"/>
    <w:rsid w:val="000C789C"/>
    <w:rsid w:val="000D02D7"/>
    <w:rsid w:val="000D160B"/>
    <w:rsid w:val="000D2436"/>
    <w:rsid w:val="000D2A43"/>
    <w:rsid w:val="000D5707"/>
    <w:rsid w:val="000E1110"/>
    <w:rsid w:val="000E568F"/>
    <w:rsid w:val="000F14CC"/>
    <w:rsid w:val="000F2137"/>
    <w:rsid w:val="000F489F"/>
    <w:rsid w:val="000F5BD0"/>
    <w:rsid w:val="000F5D5B"/>
    <w:rsid w:val="000F5E1D"/>
    <w:rsid w:val="000F73EF"/>
    <w:rsid w:val="001007E2"/>
    <w:rsid w:val="00101F15"/>
    <w:rsid w:val="00102844"/>
    <w:rsid w:val="00102917"/>
    <w:rsid w:val="001030F7"/>
    <w:rsid w:val="001034E8"/>
    <w:rsid w:val="001047E9"/>
    <w:rsid w:val="001049AF"/>
    <w:rsid w:val="00106F6D"/>
    <w:rsid w:val="00107925"/>
    <w:rsid w:val="00107D36"/>
    <w:rsid w:val="00110304"/>
    <w:rsid w:val="001113E1"/>
    <w:rsid w:val="001127A2"/>
    <w:rsid w:val="00112861"/>
    <w:rsid w:val="0011573F"/>
    <w:rsid w:val="00116EED"/>
    <w:rsid w:val="001170FA"/>
    <w:rsid w:val="001176F5"/>
    <w:rsid w:val="00125183"/>
    <w:rsid w:val="00126EB6"/>
    <w:rsid w:val="00127747"/>
    <w:rsid w:val="00127F3B"/>
    <w:rsid w:val="00127F85"/>
    <w:rsid w:val="00130876"/>
    <w:rsid w:val="00132760"/>
    <w:rsid w:val="00132F71"/>
    <w:rsid w:val="00133358"/>
    <w:rsid w:val="00133FA4"/>
    <w:rsid w:val="0013546F"/>
    <w:rsid w:val="0013554A"/>
    <w:rsid w:val="00135F58"/>
    <w:rsid w:val="0013623F"/>
    <w:rsid w:val="001364E3"/>
    <w:rsid w:val="0013669E"/>
    <w:rsid w:val="001367B0"/>
    <w:rsid w:val="00137181"/>
    <w:rsid w:val="0014190F"/>
    <w:rsid w:val="00145F1F"/>
    <w:rsid w:val="00147D3A"/>
    <w:rsid w:val="00151591"/>
    <w:rsid w:val="00151805"/>
    <w:rsid w:val="001549D5"/>
    <w:rsid w:val="00156015"/>
    <w:rsid w:val="00157505"/>
    <w:rsid w:val="00157FC2"/>
    <w:rsid w:val="00161F8A"/>
    <w:rsid w:val="001621B9"/>
    <w:rsid w:val="00163E65"/>
    <w:rsid w:val="0016528F"/>
    <w:rsid w:val="00165980"/>
    <w:rsid w:val="00166798"/>
    <w:rsid w:val="00166E83"/>
    <w:rsid w:val="001705EE"/>
    <w:rsid w:val="00170AC2"/>
    <w:rsid w:val="001746CB"/>
    <w:rsid w:val="00174CDD"/>
    <w:rsid w:val="0017634C"/>
    <w:rsid w:val="001768F4"/>
    <w:rsid w:val="00176C54"/>
    <w:rsid w:val="00180548"/>
    <w:rsid w:val="0018074C"/>
    <w:rsid w:val="00184BBD"/>
    <w:rsid w:val="00184DB5"/>
    <w:rsid w:val="00186C21"/>
    <w:rsid w:val="001870EE"/>
    <w:rsid w:val="001906B9"/>
    <w:rsid w:val="00193B59"/>
    <w:rsid w:val="00193B8E"/>
    <w:rsid w:val="00194371"/>
    <w:rsid w:val="0019566A"/>
    <w:rsid w:val="00195966"/>
    <w:rsid w:val="00195E19"/>
    <w:rsid w:val="00196086"/>
    <w:rsid w:val="00197245"/>
    <w:rsid w:val="001A16A2"/>
    <w:rsid w:val="001A29ED"/>
    <w:rsid w:val="001A38E0"/>
    <w:rsid w:val="001A550D"/>
    <w:rsid w:val="001A7520"/>
    <w:rsid w:val="001B041F"/>
    <w:rsid w:val="001B157B"/>
    <w:rsid w:val="001B1864"/>
    <w:rsid w:val="001B18A6"/>
    <w:rsid w:val="001B2C0F"/>
    <w:rsid w:val="001B5CA3"/>
    <w:rsid w:val="001B65E8"/>
    <w:rsid w:val="001B70AB"/>
    <w:rsid w:val="001C18E3"/>
    <w:rsid w:val="001C3317"/>
    <w:rsid w:val="001C3EED"/>
    <w:rsid w:val="001C4073"/>
    <w:rsid w:val="001C43BD"/>
    <w:rsid w:val="001C7523"/>
    <w:rsid w:val="001C76D9"/>
    <w:rsid w:val="001C7988"/>
    <w:rsid w:val="001D17AC"/>
    <w:rsid w:val="001D1D07"/>
    <w:rsid w:val="001D47B3"/>
    <w:rsid w:val="001D526C"/>
    <w:rsid w:val="001D58B6"/>
    <w:rsid w:val="001D7407"/>
    <w:rsid w:val="001E30FC"/>
    <w:rsid w:val="001E4143"/>
    <w:rsid w:val="001E46E1"/>
    <w:rsid w:val="001E47DD"/>
    <w:rsid w:val="001E5E27"/>
    <w:rsid w:val="001E61FD"/>
    <w:rsid w:val="001E655B"/>
    <w:rsid w:val="001F0846"/>
    <w:rsid w:val="001F2324"/>
    <w:rsid w:val="001F2847"/>
    <w:rsid w:val="001F4EDE"/>
    <w:rsid w:val="002000D9"/>
    <w:rsid w:val="00202AE8"/>
    <w:rsid w:val="002032D7"/>
    <w:rsid w:val="00203957"/>
    <w:rsid w:val="00204E17"/>
    <w:rsid w:val="0021014E"/>
    <w:rsid w:val="00212801"/>
    <w:rsid w:val="00213E38"/>
    <w:rsid w:val="002143CE"/>
    <w:rsid w:val="00214D44"/>
    <w:rsid w:val="00215342"/>
    <w:rsid w:val="002156B8"/>
    <w:rsid w:val="00215A09"/>
    <w:rsid w:val="00216712"/>
    <w:rsid w:val="00217A44"/>
    <w:rsid w:val="00221AFD"/>
    <w:rsid w:val="00222634"/>
    <w:rsid w:val="00222726"/>
    <w:rsid w:val="00223E65"/>
    <w:rsid w:val="002253E6"/>
    <w:rsid w:val="0022627C"/>
    <w:rsid w:val="00226EC3"/>
    <w:rsid w:val="0023092E"/>
    <w:rsid w:val="00231B2E"/>
    <w:rsid w:val="0023411B"/>
    <w:rsid w:val="002349B8"/>
    <w:rsid w:val="00234A7A"/>
    <w:rsid w:val="00235271"/>
    <w:rsid w:val="002355FB"/>
    <w:rsid w:val="002368B1"/>
    <w:rsid w:val="00237199"/>
    <w:rsid w:val="002371C1"/>
    <w:rsid w:val="00240E67"/>
    <w:rsid w:val="002416FC"/>
    <w:rsid w:val="0024478C"/>
    <w:rsid w:val="00244BDE"/>
    <w:rsid w:val="00245A9D"/>
    <w:rsid w:val="002466E5"/>
    <w:rsid w:val="00246915"/>
    <w:rsid w:val="00246AE8"/>
    <w:rsid w:val="00247325"/>
    <w:rsid w:val="00247CFE"/>
    <w:rsid w:val="00250A8B"/>
    <w:rsid w:val="0025552E"/>
    <w:rsid w:val="0025570C"/>
    <w:rsid w:val="00255F42"/>
    <w:rsid w:val="00256F7A"/>
    <w:rsid w:val="002570B9"/>
    <w:rsid w:val="00263F80"/>
    <w:rsid w:val="002652B8"/>
    <w:rsid w:val="002709EC"/>
    <w:rsid w:val="0027106B"/>
    <w:rsid w:val="0027365A"/>
    <w:rsid w:val="00273D86"/>
    <w:rsid w:val="00280231"/>
    <w:rsid w:val="00281C3A"/>
    <w:rsid w:val="00281E71"/>
    <w:rsid w:val="00282489"/>
    <w:rsid w:val="0028411D"/>
    <w:rsid w:val="00285C17"/>
    <w:rsid w:val="00285D71"/>
    <w:rsid w:val="002878FF"/>
    <w:rsid w:val="002909B3"/>
    <w:rsid w:val="002912E6"/>
    <w:rsid w:val="0029526B"/>
    <w:rsid w:val="00295CD9"/>
    <w:rsid w:val="00295D4A"/>
    <w:rsid w:val="0029648A"/>
    <w:rsid w:val="002A08F7"/>
    <w:rsid w:val="002A25AB"/>
    <w:rsid w:val="002A3C75"/>
    <w:rsid w:val="002A4646"/>
    <w:rsid w:val="002A493D"/>
    <w:rsid w:val="002A4C74"/>
    <w:rsid w:val="002A541A"/>
    <w:rsid w:val="002A6D52"/>
    <w:rsid w:val="002A7F4A"/>
    <w:rsid w:val="002B00F5"/>
    <w:rsid w:val="002B0C5B"/>
    <w:rsid w:val="002B205C"/>
    <w:rsid w:val="002B231D"/>
    <w:rsid w:val="002B2F76"/>
    <w:rsid w:val="002B3029"/>
    <w:rsid w:val="002B3823"/>
    <w:rsid w:val="002B3A62"/>
    <w:rsid w:val="002B4197"/>
    <w:rsid w:val="002B47F5"/>
    <w:rsid w:val="002B713B"/>
    <w:rsid w:val="002C0BFB"/>
    <w:rsid w:val="002C23F1"/>
    <w:rsid w:val="002C313C"/>
    <w:rsid w:val="002C4F2F"/>
    <w:rsid w:val="002C6D49"/>
    <w:rsid w:val="002D2AB8"/>
    <w:rsid w:val="002D3716"/>
    <w:rsid w:val="002D3D5B"/>
    <w:rsid w:val="002D4EAE"/>
    <w:rsid w:val="002D68E4"/>
    <w:rsid w:val="002E07AA"/>
    <w:rsid w:val="002E12B4"/>
    <w:rsid w:val="002E1317"/>
    <w:rsid w:val="002E1664"/>
    <w:rsid w:val="002E3131"/>
    <w:rsid w:val="002E32C4"/>
    <w:rsid w:val="002E642C"/>
    <w:rsid w:val="002E66BD"/>
    <w:rsid w:val="002E6B0C"/>
    <w:rsid w:val="002E7AA6"/>
    <w:rsid w:val="002F3660"/>
    <w:rsid w:val="002F3841"/>
    <w:rsid w:val="002F3D50"/>
    <w:rsid w:val="002F4A0E"/>
    <w:rsid w:val="002F4DD1"/>
    <w:rsid w:val="002F6A3E"/>
    <w:rsid w:val="00301245"/>
    <w:rsid w:val="003024F0"/>
    <w:rsid w:val="00303632"/>
    <w:rsid w:val="003043E9"/>
    <w:rsid w:val="00304452"/>
    <w:rsid w:val="0030526C"/>
    <w:rsid w:val="00306790"/>
    <w:rsid w:val="003074A5"/>
    <w:rsid w:val="00307798"/>
    <w:rsid w:val="00314363"/>
    <w:rsid w:val="003149B9"/>
    <w:rsid w:val="0031669D"/>
    <w:rsid w:val="00317100"/>
    <w:rsid w:val="0032157D"/>
    <w:rsid w:val="0032183C"/>
    <w:rsid w:val="003218BA"/>
    <w:rsid w:val="00321E68"/>
    <w:rsid w:val="00322039"/>
    <w:rsid w:val="00325CCF"/>
    <w:rsid w:val="00326AF6"/>
    <w:rsid w:val="003273E0"/>
    <w:rsid w:val="00333F7C"/>
    <w:rsid w:val="00334770"/>
    <w:rsid w:val="00334DB6"/>
    <w:rsid w:val="00340A68"/>
    <w:rsid w:val="00340BC6"/>
    <w:rsid w:val="00340F94"/>
    <w:rsid w:val="0034181A"/>
    <w:rsid w:val="0034299B"/>
    <w:rsid w:val="00342E30"/>
    <w:rsid w:val="00342F76"/>
    <w:rsid w:val="00342F80"/>
    <w:rsid w:val="0034315B"/>
    <w:rsid w:val="003451EB"/>
    <w:rsid w:val="003452FF"/>
    <w:rsid w:val="00346957"/>
    <w:rsid w:val="0034752D"/>
    <w:rsid w:val="00347989"/>
    <w:rsid w:val="00347E94"/>
    <w:rsid w:val="00350089"/>
    <w:rsid w:val="0035016E"/>
    <w:rsid w:val="003517BA"/>
    <w:rsid w:val="0035180B"/>
    <w:rsid w:val="00351BAF"/>
    <w:rsid w:val="00355B24"/>
    <w:rsid w:val="00355E19"/>
    <w:rsid w:val="00356039"/>
    <w:rsid w:val="00356CEE"/>
    <w:rsid w:val="00361CF0"/>
    <w:rsid w:val="00362B10"/>
    <w:rsid w:val="003634B7"/>
    <w:rsid w:val="00363E92"/>
    <w:rsid w:val="00364056"/>
    <w:rsid w:val="00364A41"/>
    <w:rsid w:val="00364D24"/>
    <w:rsid w:val="0036510A"/>
    <w:rsid w:val="00365EB5"/>
    <w:rsid w:val="00365F31"/>
    <w:rsid w:val="00365FA2"/>
    <w:rsid w:val="0036617A"/>
    <w:rsid w:val="00373A15"/>
    <w:rsid w:val="0037463D"/>
    <w:rsid w:val="00374D9C"/>
    <w:rsid w:val="00375F54"/>
    <w:rsid w:val="003762DD"/>
    <w:rsid w:val="0037673C"/>
    <w:rsid w:val="00380F79"/>
    <w:rsid w:val="00381362"/>
    <w:rsid w:val="00382160"/>
    <w:rsid w:val="00383850"/>
    <w:rsid w:val="003854A7"/>
    <w:rsid w:val="00385F42"/>
    <w:rsid w:val="003867CE"/>
    <w:rsid w:val="003904C2"/>
    <w:rsid w:val="00393A08"/>
    <w:rsid w:val="00394097"/>
    <w:rsid w:val="00394839"/>
    <w:rsid w:val="00394A6E"/>
    <w:rsid w:val="003957F4"/>
    <w:rsid w:val="003A0F3C"/>
    <w:rsid w:val="003A166C"/>
    <w:rsid w:val="003A41E9"/>
    <w:rsid w:val="003A42AF"/>
    <w:rsid w:val="003A501C"/>
    <w:rsid w:val="003A67D3"/>
    <w:rsid w:val="003A6C26"/>
    <w:rsid w:val="003A7FD8"/>
    <w:rsid w:val="003B06E9"/>
    <w:rsid w:val="003B1CEB"/>
    <w:rsid w:val="003B2061"/>
    <w:rsid w:val="003B3243"/>
    <w:rsid w:val="003B352A"/>
    <w:rsid w:val="003B3872"/>
    <w:rsid w:val="003B4337"/>
    <w:rsid w:val="003B4395"/>
    <w:rsid w:val="003B45BB"/>
    <w:rsid w:val="003B4752"/>
    <w:rsid w:val="003B537D"/>
    <w:rsid w:val="003B5552"/>
    <w:rsid w:val="003B562C"/>
    <w:rsid w:val="003B6CFB"/>
    <w:rsid w:val="003B6E39"/>
    <w:rsid w:val="003B7426"/>
    <w:rsid w:val="003C0D90"/>
    <w:rsid w:val="003C1179"/>
    <w:rsid w:val="003C225B"/>
    <w:rsid w:val="003C512F"/>
    <w:rsid w:val="003C6BB2"/>
    <w:rsid w:val="003C7149"/>
    <w:rsid w:val="003C7175"/>
    <w:rsid w:val="003D0147"/>
    <w:rsid w:val="003D030D"/>
    <w:rsid w:val="003D0B56"/>
    <w:rsid w:val="003D0C80"/>
    <w:rsid w:val="003D11DD"/>
    <w:rsid w:val="003D17F6"/>
    <w:rsid w:val="003D1F15"/>
    <w:rsid w:val="003D3461"/>
    <w:rsid w:val="003D39D4"/>
    <w:rsid w:val="003D3DC8"/>
    <w:rsid w:val="003D426F"/>
    <w:rsid w:val="003D45D9"/>
    <w:rsid w:val="003D5606"/>
    <w:rsid w:val="003E32DB"/>
    <w:rsid w:val="003E486E"/>
    <w:rsid w:val="003E4B2E"/>
    <w:rsid w:val="003E4EB6"/>
    <w:rsid w:val="003E541E"/>
    <w:rsid w:val="003E5D78"/>
    <w:rsid w:val="003E6AFA"/>
    <w:rsid w:val="003E6D5C"/>
    <w:rsid w:val="003E7876"/>
    <w:rsid w:val="003F1A7F"/>
    <w:rsid w:val="003F2700"/>
    <w:rsid w:val="003F2A5B"/>
    <w:rsid w:val="003F41FA"/>
    <w:rsid w:val="003F6A25"/>
    <w:rsid w:val="003F7097"/>
    <w:rsid w:val="003F7A68"/>
    <w:rsid w:val="003F7C3F"/>
    <w:rsid w:val="004006E7"/>
    <w:rsid w:val="0040079B"/>
    <w:rsid w:val="004008E0"/>
    <w:rsid w:val="00401CF8"/>
    <w:rsid w:val="00401F1D"/>
    <w:rsid w:val="00403A1E"/>
    <w:rsid w:val="00403BCF"/>
    <w:rsid w:val="00405541"/>
    <w:rsid w:val="004057A1"/>
    <w:rsid w:val="00405C36"/>
    <w:rsid w:val="00405D18"/>
    <w:rsid w:val="00406D16"/>
    <w:rsid w:val="00406F65"/>
    <w:rsid w:val="004102CE"/>
    <w:rsid w:val="004130BE"/>
    <w:rsid w:val="00413CB0"/>
    <w:rsid w:val="0041621B"/>
    <w:rsid w:val="004175BD"/>
    <w:rsid w:val="00420033"/>
    <w:rsid w:val="00420C6A"/>
    <w:rsid w:val="00422599"/>
    <w:rsid w:val="004226BE"/>
    <w:rsid w:val="00422830"/>
    <w:rsid w:val="00424556"/>
    <w:rsid w:val="00425648"/>
    <w:rsid w:val="00426412"/>
    <w:rsid w:val="00426E25"/>
    <w:rsid w:val="00426EE0"/>
    <w:rsid w:val="00430481"/>
    <w:rsid w:val="00431A09"/>
    <w:rsid w:val="004338EA"/>
    <w:rsid w:val="00433FDD"/>
    <w:rsid w:val="0043474D"/>
    <w:rsid w:val="00434DBD"/>
    <w:rsid w:val="0043597D"/>
    <w:rsid w:val="00436734"/>
    <w:rsid w:val="00436C82"/>
    <w:rsid w:val="004372DA"/>
    <w:rsid w:val="0044079D"/>
    <w:rsid w:val="00440B65"/>
    <w:rsid w:val="004426A5"/>
    <w:rsid w:val="004427AC"/>
    <w:rsid w:val="0044334C"/>
    <w:rsid w:val="00444113"/>
    <w:rsid w:val="0044437F"/>
    <w:rsid w:val="00444D9F"/>
    <w:rsid w:val="0044526F"/>
    <w:rsid w:val="00445713"/>
    <w:rsid w:val="00446BAB"/>
    <w:rsid w:val="0044701B"/>
    <w:rsid w:val="0044763E"/>
    <w:rsid w:val="00450031"/>
    <w:rsid w:val="00451163"/>
    <w:rsid w:val="00452A27"/>
    <w:rsid w:val="00457B25"/>
    <w:rsid w:val="004618B4"/>
    <w:rsid w:val="00464A52"/>
    <w:rsid w:val="004664CD"/>
    <w:rsid w:val="00467B62"/>
    <w:rsid w:val="004700AD"/>
    <w:rsid w:val="004713E8"/>
    <w:rsid w:val="00471BB3"/>
    <w:rsid w:val="0047466E"/>
    <w:rsid w:val="004753A6"/>
    <w:rsid w:val="00476A76"/>
    <w:rsid w:val="00483351"/>
    <w:rsid w:val="004852A3"/>
    <w:rsid w:val="00485C3A"/>
    <w:rsid w:val="0049066B"/>
    <w:rsid w:val="00491862"/>
    <w:rsid w:val="00492098"/>
    <w:rsid w:val="00492217"/>
    <w:rsid w:val="00493779"/>
    <w:rsid w:val="00494444"/>
    <w:rsid w:val="004944C7"/>
    <w:rsid w:val="00496AE0"/>
    <w:rsid w:val="00496C23"/>
    <w:rsid w:val="0049709D"/>
    <w:rsid w:val="004A027D"/>
    <w:rsid w:val="004A05AD"/>
    <w:rsid w:val="004A145C"/>
    <w:rsid w:val="004A1D69"/>
    <w:rsid w:val="004A261B"/>
    <w:rsid w:val="004A2673"/>
    <w:rsid w:val="004A3150"/>
    <w:rsid w:val="004A4F0E"/>
    <w:rsid w:val="004A5422"/>
    <w:rsid w:val="004A69BA"/>
    <w:rsid w:val="004B186B"/>
    <w:rsid w:val="004B5781"/>
    <w:rsid w:val="004C2AFE"/>
    <w:rsid w:val="004C4692"/>
    <w:rsid w:val="004C47BB"/>
    <w:rsid w:val="004C710B"/>
    <w:rsid w:val="004D02D1"/>
    <w:rsid w:val="004D0690"/>
    <w:rsid w:val="004D073E"/>
    <w:rsid w:val="004D0A0C"/>
    <w:rsid w:val="004D0F4E"/>
    <w:rsid w:val="004D2579"/>
    <w:rsid w:val="004D2C77"/>
    <w:rsid w:val="004D582C"/>
    <w:rsid w:val="004D71E1"/>
    <w:rsid w:val="004E1DBF"/>
    <w:rsid w:val="004E6E81"/>
    <w:rsid w:val="004E75AF"/>
    <w:rsid w:val="004F0259"/>
    <w:rsid w:val="004F1604"/>
    <w:rsid w:val="004F2FC2"/>
    <w:rsid w:val="004F421A"/>
    <w:rsid w:val="004F5CFB"/>
    <w:rsid w:val="004F68BB"/>
    <w:rsid w:val="004F6D1F"/>
    <w:rsid w:val="004F7618"/>
    <w:rsid w:val="004F7F2B"/>
    <w:rsid w:val="00500CB7"/>
    <w:rsid w:val="00500FB9"/>
    <w:rsid w:val="0050118E"/>
    <w:rsid w:val="00501C09"/>
    <w:rsid w:val="00502A39"/>
    <w:rsid w:val="00503693"/>
    <w:rsid w:val="00510671"/>
    <w:rsid w:val="005122E6"/>
    <w:rsid w:val="00513222"/>
    <w:rsid w:val="00513BFB"/>
    <w:rsid w:val="005156EE"/>
    <w:rsid w:val="005164B8"/>
    <w:rsid w:val="00520EB9"/>
    <w:rsid w:val="00521F90"/>
    <w:rsid w:val="0052510F"/>
    <w:rsid w:val="005267E8"/>
    <w:rsid w:val="005278DB"/>
    <w:rsid w:val="00530F47"/>
    <w:rsid w:val="00531668"/>
    <w:rsid w:val="0053196F"/>
    <w:rsid w:val="00531CA5"/>
    <w:rsid w:val="0053249C"/>
    <w:rsid w:val="00532B70"/>
    <w:rsid w:val="00533C61"/>
    <w:rsid w:val="00533FA5"/>
    <w:rsid w:val="00534DD0"/>
    <w:rsid w:val="00536916"/>
    <w:rsid w:val="005407EB"/>
    <w:rsid w:val="0054081B"/>
    <w:rsid w:val="00540AF2"/>
    <w:rsid w:val="00541156"/>
    <w:rsid w:val="00541934"/>
    <w:rsid w:val="00541B17"/>
    <w:rsid w:val="005421D2"/>
    <w:rsid w:val="005427C8"/>
    <w:rsid w:val="00542B52"/>
    <w:rsid w:val="00543AA5"/>
    <w:rsid w:val="00543D1D"/>
    <w:rsid w:val="00544A4C"/>
    <w:rsid w:val="0054547E"/>
    <w:rsid w:val="005473DC"/>
    <w:rsid w:val="00551290"/>
    <w:rsid w:val="005514A4"/>
    <w:rsid w:val="005516F7"/>
    <w:rsid w:val="0055175C"/>
    <w:rsid w:val="00551AD6"/>
    <w:rsid w:val="00552E1A"/>
    <w:rsid w:val="00556927"/>
    <w:rsid w:val="0055712B"/>
    <w:rsid w:val="00557F60"/>
    <w:rsid w:val="00557FEA"/>
    <w:rsid w:val="00560704"/>
    <w:rsid w:val="005646B4"/>
    <w:rsid w:val="005656F8"/>
    <w:rsid w:val="0056666D"/>
    <w:rsid w:val="00566971"/>
    <w:rsid w:val="00567213"/>
    <w:rsid w:val="00570412"/>
    <w:rsid w:val="00571859"/>
    <w:rsid w:val="00571D0E"/>
    <w:rsid w:val="00572B89"/>
    <w:rsid w:val="00572CF5"/>
    <w:rsid w:val="00573732"/>
    <w:rsid w:val="00574998"/>
    <w:rsid w:val="00575DDE"/>
    <w:rsid w:val="005770FA"/>
    <w:rsid w:val="00580350"/>
    <w:rsid w:val="00580396"/>
    <w:rsid w:val="005806A8"/>
    <w:rsid w:val="00580904"/>
    <w:rsid w:val="00580F5D"/>
    <w:rsid w:val="00581D27"/>
    <w:rsid w:val="00582574"/>
    <w:rsid w:val="005829ED"/>
    <w:rsid w:val="00585DD8"/>
    <w:rsid w:val="00585F32"/>
    <w:rsid w:val="0058608E"/>
    <w:rsid w:val="00586C22"/>
    <w:rsid w:val="00586E20"/>
    <w:rsid w:val="00587B8A"/>
    <w:rsid w:val="00591EF3"/>
    <w:rsid w:val="00592F7E"/>
    <w:rsid w:val="005946FF"/>
    <w:rsid w:val="00595C77"/>
    <w:rsid w:val="00596898"/>
    <w:rsid w:val="00596D28"/>
    <w:rsid w:val="00596F13"/>
    <w:rsid w:val="00597170"/>
    <w:rsid w:val="0059793A"/>
    <w:rsid w:val="00597BE2"/>
    <w:rsid w:val="005A0660"/>
    <w:rsid w:val="005A1AF0"/>
    <w:rsid w:val="005A35E0"/>
    <w:rsid w:val="005A4602"/>
    <w:rsid w:val="005A4BCE"/>
    <w:rsid w:val="005A60E6"/>
    <w:rsid w:val="005A697D"/>
    <w:rsid w:val="005A70FA"/>
    <w:rsid w:val="005B58E8"/>
    <w:rsid w:val="005B7CC8"/>
    <w:rsid w:val="005C10D4"/>
    <w:rsid w:val="005C17F9"/>
    <w:rsid w:val="005C1F01"/>
    <w:rsid w:val="005C2861"/>
    <w:rsid w:val="005C29AF"/>
    <w:rsid w:val="005C30E8"/>
    <w:rsid w:val="005C3156"/>
    <w:rsid w:val="005C3678"/>
    <w:rsid w:val="005C6647"/>
    <w:rsid w:val="005C6C57"/>
    <w:rsid w:val="005C7FEE"/>
    <w:rsid w:val="005D0541"/>
    <w:rsid w:val="005D0964"/>
    <w:rsid w:val="005D0A66"/>
    <w:rsid w:val="005D3523"/>
    <w:rsid w:val="005D3CF6"/>
    <w:rsid w:val="005D4321"/>
    <w:rsid w:val="005D49A4"/>
    <w:rsid w:val="005D5041"/>
    <w:rsid w:val="005D6EC5"/>
    <w:rsid w:val="005D7538"/>
    <w:rsid w:val="005E0B13"/>
    <w:rsid w:val="005E170A"/>
    <w:rsid w:val="005E28E2"/>
    <w:rsid w:val="005E2BA9"/>
    <w:rsid w:val="005E34B1"/>
    <w:rsid w:val="005E35C0"/>
    <w:rsid w:val="005E3CF7"/>
    <w:rsid w:val="005E52C1"/>
    <w:rsid w:val="005E5CB7"/>
    <w:rsid w:val="005F111C"/>
    <w:rsid w:val="005F1709"/>
    <w:rsid w:val="005F3D03"/>
    <w:rsid w:val="005F3EA8"/>
    <w:rsid w:val="005F4D04"/>
    <w:rsid w:val="005F6ECD"/>
    <w:rsid w:val="005F76E1"/>
    <w:rsid w:val="00600838"/>
    <w:rsid w:val="00600D48"/>
    <w:rsid w:val="006011FD"/>
    <w:rsid w:val="006015F1"/>
    <w:rsid w:val="00601CC0"/>
    <w:rsid w:val="00601D37"/>
    <w:rsid w:val="006031AF"/>
    <w:rsid w:val="00603589"/>
    <w:rsid w:val="006060E2"/>
    <w:rsid w:val="00606ABF"/>
    <w:rsid w:val="00606B46"/>
    <w:rsid w:val="00607496"/>
    <w:rsid w:val="00607C06"/>
    <w:rsid w:val="006128A9"/>
    <w:rsid w:val="00612EF0"/>
    <w:rsid w:val="00614149"/>
    <w:rsid w:val="00616D3F"/>
    <w:rsid w:val="00617488"/>
    <w:rsid w:val="0061762A"/>
    <w:rsid w:val="0062275D"/>
    <w:rsid w:val="00623508"/>
    <w:rsid w:val="0062375A"/>
    <w:rsid w:val="00623A85"/>
    <w:rsid w:val="00623DAC"/>
    <w:rsid w:val="00626448"/>
    <w:rsid w:val="00630D77"/>
    <w:rsid w:val="006323AE"/>
    <w:rsid w:val="00632803"/>
    <w:rsid w:val="00633E70"/>
    <w:rsid w:val="0063432B"/>
    <w:rsid w:val="00635F94"/>
    <w:rsid w:val="006367B1"/>
    <w:rsid w:val="0063700A"/>
    <w:rsid w:val="00640705"/>
    <w:rsid w:val="00641D24"/>
    <w:rsid w:val="00642272"/>
    <w:rsid w:val="00642B2F"/>
    <w:rsid w:val="0064365C"/>
    <w:rsid w:val="0064434B"/>
    <w:rsid w:val="006446A2"/>
    <w:rsid w:val="00644748"/>
    <w:rsid w:val="00644C5B"/>
    <w:rsid w:val="00644E29"/>
    <w:rsid w:val="00645CEF"/>
    <w:rsid w:val="0064786D"/>
    <w:rsid w:val="00650D34"/>
    <w:rsid w:val="006515DA"/>
    <w:rsid w:val="00651B0B"/>
    <w:rsid w:val="006526C3"/>
    <w:rsid w:val="00652F8D"/>
    <w:rsid w:val="006536FB"/>
    <w:rsid w:val="0065447D"/>
    <w:rsid w:val="00654D00"/>
    <w:rsid w:val="00657DB8"/>
    <w:rsid w:val="00661D77"/>
    <w:rsid w:val="00662516"/>
    <w:rsid w:val="006637C1"/>
    <w:rsid w:val="006651F1"/>
    <w:rsid w:val="00665D34"/>
    <w:rsid w:val="00666695"/>
    <w:rsid w:val="00667C2B"/>
    <w:rsid w:val="00667DC5"/>
    <w:rsid w:val="00667E01"/>
    <w:rsid w:val="0067039C"/>
    <w:rsid w:val="006706A3"/>
    <w:rsid w:val="00672FFD"/>
    <w:rsid w:val="00673840"/>
    <w:rsid w:val="00675B49"/>
    <w:rsid w:val="00675D66"/>
    <w:rsid w:val="00677622"/>
    <w:rsid w:val="006801B6"/>
    <w:rsid w:val="006824D4"/>
    <w:rsid w:val="0068347B"/>
    <w:rsid w:val="006846D3"/>
    <w:rsid w:val="0068615E"/>
    <w:rsid w:val="0068628C"/>
    <w:rsid w:val="00686920"/>
    <w:rsid w:val="006876CD"/>
    <w:rsid w:val="0069001B"/>
    <w:rsid w:val="00690D3E"/>
    <w:rsid w:val="006917F2"/>
    <w:rsid w:val="00691F04"/>
    <w:rsid w:val="00692C92"/>
    <w:rsid w:val="006946E9"/>
    <w:rsid w:val="0069595E"/>
    <w:rsid w:val="006979B0"/>
    <w:rsid w:val="006A0E0A"/>
    <w:rsid w:val="006A0E7D"/>
    <w:rsid w:val="006A15BD"/>
    <w:rsid w:val="006A201B"/>
    <w:rsid w:val="006A29F5"/>
    <w:rsid w:val="006A2E82"/>
    <w:rsid w:val="006A39D6"/>
    <w:rsid w:val="006A5EEE"/>
    <w:rsid w:val="006A65AE"/>
    <w:rsid w:val="006B1386"/>
    <w:rsid w:val="006B2846"/>
    <w:rsid w:val="006B332D"/>
    <w:rsid w:val="006B426C"/>
    <w:rsid w:val="006B672E"/>
    <w:rsid w:val="006B7440"/>
    <w:rsid w:val="006C2B60"/>
    <w:rsid w:val="006C4DCA"/>
    <w:rsid w:val="006C59DB"/>
    <w:rsid w:val="006C60F0"/>
    <w:rsid w:val="006C7449"/>
    <w:rsid w:val="006C7E21"/>
    <w:rsid w:val="006D1C7C"/>
    <w:rsid w:val="006D1C87"/>
    <w:rsid w:val="006D2EE9"/>
    <w:rsid w:val="006D3813"/>
    <w:rsid w:val="006D66A7"/>
    <w:rsid w:val="006E0302"/>
    <w:rsid w:val="006E102B"/>
    <w:rsid w:val="006E152B"/>
    <w:rsid w:val="006E26D6"/>
    <w:rsid w:val="006E38B1"/>
    <w:rsid w:val="006E448E"/>
    <w:rsid w:val="006E5102"/>
    <w:rsid w:val="006E68B8"/>
    <w:rsid w:val="006E68F1"/>
    <w:rsid w:val="006E7DB8"/>
    <w:rsid w:val="006F1BD5"/>
    <w:rsid w:val="006F2A7E"/>
    <w:rsid w:val="006F322E"/>
    <w:rsid w:val="006F5C88"/>
    <w:rsid w:val="006F5FDA"/>
    <w:rsid w:val="006F5FFD"/>
    <w:rsid w:val="006F74AD"/>
    <w:rsid w:val="006F7AAB"/>
    <w:rsid w:val="00703E5B"/>
    <w:rsid w:val="007056DD"/>
    <w:rsid w:val="00705713"/>
    <w:rsid w:val="00707CED"/>
    <w:rsid w:val="00711C35"/>
    <w:rsid w:val="00712402"/>
    <w:rsid w:val="00714240"/>
    <w:rsid w:val="007143C5"/>
    <w:rsid w:val="007163EE"/>
    <w:rsid w:val="00716F0F"/>
    <w:rsid w:val="00717E5C"/>
    <w:rsid w:val="0072014E"/>
    <w:rsid w:val="007206AB"/>
    <w:rsid w:val="00722951"/>
    <w:rsid w:val="0072354E"/>
    <w:rsid w:val="007248DA"/>
    <w:rsid w:val="00725F53"/>
    <w:rsid w:val="00726F1B"/>
    <w:rsid w:val="00730E26"/>
    <w:rsid w:val="007326FB"/>
    <w:rsid w:val="007329A6"/>
    <w:rsid w:val="00733165"/>
    <w:rsid w:val="00734967"/>
    <w:rsid w:val="00734BA2"/>
    <w:rsid w:val="00736033"/>
    <w:rsid w:val="00736B09"/>
    <w:rsid w:val="007374D6"/>
    <w:rsid w:val="00740249"/>
    <w:rsid w:val="007408FD"/>
    <w:rsid w:val="0074208F"/>
    <w:rsid w:val="00742FCC"/>
    <w:rsid w:val="0074324A"/>
    <w:rsid w:val="007434F2"/>
    <w:rsid w:val="00743B5A"/>
    <w:rsid w:val="00744CC4"/>
    <w:rsid w:val="00746829"/>
    <w:rsid w:val="00746B82"/>
    <w:rsid w:val="00746EBD"/>
    <w:rsid w:val="00750A69"/>
    <w:rsid w:val="00752794"/>
    <w:rsid w:val="00752F25"/>
    <w:rsid w:val="0075385B"/>
    <w:rsid w:val="00754B46"/>
    <w:rsid w:val="00756366"/>
    <w:rsid w:val="00756D31"/>
    <w:rsid w:val="00757256"/>
    <w:rsid w:val="0076014E"/>
    <w:rsid w:val="00760708"/>
    <w:rsid w:val="00760851"/>
    <w:rsid w:val="00761341"/>
    <w:rsid w:val="00761837"/>
    <w:rsid w:val="0076194D"/>
    <w:rsid w:val="00762D9A"/>
    <w:rsid w:val="00762E94"/>
    <w:rsid w:val="0076343A"/>
    <w:rsid w:val="00764F4B"/>
    <w:rsid w:val="0076523F"/>
    <w:rsid w:val="007737E2"/>
    <w:rsid w:val="00774B78"/>
    <w:rsid w:val="00775265"/>
    <w:rsid w:val="00775294"/>
    <w:rsid w:val="007766D9"/>
    <w:rsid w:val="007768A8"/>
    <w:rsid w:val="0077782B"/>
    <w:rsid w:val="00777BE5"/>
    <w:rsid w:val="007809B9"/>
    <w:rsid w:val="00780C94"/>
    <w:rsid w:val="00780D5A"/>
    <w:rsid w:val="0078211A"/>
    <w:rsid w:val="00782A54"/>
    <w:rsid w:val="007835D9"/>
    <w:rsid w:val="00784543"/>
    <w:rsid w:val="0078467D"/>
    <w:rsid w:val="00784941"/>
    <w:rsid w:val="00785740"/>
    <w:rsid w:val="00786DE2"/>
    <w:rsid w:val="00791C4F"/>
    <w:rsid w:val="00791CC0"/>
    <w:rsid w:val="007941D2"/>
    <w:rsid w:val="007971B0"/>
    <w:rsid w:val="007A30FE"/>
    <w:rsid w:val="007A42BE"/>
    <w:rsid w:val="007A4436"/>
    <w:rsid w:val="007A4FB2"/>
    <w:rsid w:val="007A5F25"/>
    <w:rsid w:val="007A6B68"/>
    <w:rsid w:val="007B2012"/>
    <w:rsid w:val="007B40AF"/>
    <w:rsid w:val="007B51C3"/>
    <w:rsid w:val="007B68CD"/>
    <w:rsid w:val="007B69B4"/>
    <w:rsid w:val="007B6AE5"/>
    <w:rsid w:val="007B7D1A"/>
    <w:rsid w:val="007C1506"/>
    <w:rsid w:val="007C1763"/>
    <w:rsid w:val="007C3360"/>
    <w:rsid w:val="007C338C"/>
    <w:rsid w:val="007C3A25"/>
    <w:rsid w:val="007C466E"/>
    <w:rsid w:val="007C5D0A"/>
    <w:rsid w:val="007C710D"/>
    <w:rsid w:val="007C7B37"/>
    <w:rsid w:val="007D0226"/>
    <w:rsid w:val="007D48CC"/>
    <w:rsid w:val="007D4B04"/>
    <w:rsid w:val="007D5D32"/>
    <w:rsid w:val="007D71DA"/>
    <w:rsid w:val="007E0556"/>
    <w:rsid w:val="007E08D0"/>
    <w:rsid w:val="007E0D02"/>
    <w:rsid w:val="007E1204"/>
    <w:rsid w:val="007F007C"/>
    <w:rsid w:val="007F0551"/>
    <w:rsid w:val="007F25E7"/>
    <w:rsid w:val="007F5B1D"/>
    <w:rsid w:val="007F74F0"/>
    <w:rsid w:val="0080008B"/>
    <w:rsid w:val="00803D22"/>
    <w:rsid w:val="00803E85"/>
    <w:rsid w:val="00805F07"/>
    <w:rsid w:val="00805FC8"/>
    <w:rsid w:val="0080797F"/>
    <w:rsid w:val="00807BE6"/>
    <w:rsid w:val="00810D99"/>
    <w:rsid w:val="0081406D"/>
    <w:rsid w:val="00814D71"/>
    <w:rsid w:val="00817331"/>
    <w:rsid w:val="00817F92"/>
    <w:rsid w:val="00820534"/>
    <w:rsid w:val="0082086C"/>
    <w:rsid w:val="008210E7"/>
    <w:rsid w:val="00822709"/>
    <w:rsid w:val="008250F2"/>
    <w:rsid w:val="008254AA"/>
    <w:rsid w:val="00826C2D"/>
    <w:rsid w:val="00827C14"/>
    <w:rsid w:val="00830782"/>
    <w:rsid w:val="00830CC6"/>
    <w:rsid w:val="0083240C"/>
    <w:rsid w:val="00832E83"/>
    <w:rsid w:val="008336F1"/>
    <w:rsid w:val="00833FA4"/>
    <w:rsid w:val="00834BE7"/>
    <w:rsid w:val="00834CD8"/>
    <w:rsid w:val="00835270"/>
    <w:rsid w:val="00841212"/>
    <w:rsid w:val="00841D8B"/>
    <w:rsid w:val="008436C6"/>
    <w:rsid w:val="00843717"/>
    <w:rsid w:val="00844D89"/>
    <w:rsid w:val="008452E0"/>
    <w:rsid w:val="008458F4"/>
    <w:rsid w:val="008459F3"/>
    <w:rsid w:val="00845B50"/>
    <w:rsid w:val="0084627A"/>
    <w:rsid w:val="008464FA"/>
    <w:rsid w:val="00846B74"/>
    <w:rsid w:val="00847DA5"/>
    <w:rsid w:val="00847E18"/>
    <w:rsid w:val="008516CA"/>
    <w:rsid w:val="00853F17"/>
    <w:rsid w:val="00854443"/>
    <w:rsid w:val="00854AFA"/>
    <w:rsid w:val="00856527"/>
    <w:rsid w:val="00857327"/>
    <w:rsid w:val="00860DE7"/>
    <w:rsid w:val="00861CCD"/>
    <w:rsid w:val="00865B75"/>
    <w:rsid w:val="00865C7D"/>
    <w:rsid w:val="00866184"/>
    <w:rsid w:val="0086716F"/>
    <w:rsid w:val="008675A9"/>
    <w:rsid w:val="0086772C"/>
    <w:rsid w:val="00870EE6"/>
    <w:rsid w:val="008714F7"/>
    <w:rsid w:val="00873E33"/>
    <w:rsid w:val="00874CAD"/>
    <w:rsid w:val="008757B9"/>
    <w:rsid w:val="00875D00"/>
    <w:rsid w:val="0087767B"/>
    <w:rsid w:val="00880315"/>
    <w:rsid w:val="00884501"/>
    <w:rsid w:val="00884AEB"/>
    <w:rsid w:val="00884BE4"/>
    <w:rsid w:val="008853AC"/>
    <w:rsid w:val="00887373"/>
    <w:rsid w:val="00892BF9"/>
    <w:rsid w:val="0089337A"/>
    <w:rsid w:val="00893FA2"/>
    <w:rsid w:val="00895535"/>
    <w:rsid w:val="00896136"/>
    <w:rsid w:val="008A35DC"/>
    <w:rsid w:val="008A4497"/>
    <w:rsid w:val="008A4786"/>
    <w:rsid w:val="008A5D08"/>
    <w:rsid w:val="008A6B60"/>
    <w:rsid w:val="008A6B87"/>
    <w:rsid w:val="008A6ECF"/>
    <w:rsid w:val="008A7BCA"/>
    <w:rsid w:val="008B1BCD"/>
    <w:rsid w:val="008B1C97"/>
    <w:rsid w:val="008B2C03"/>
    <w:rsid w:val="008B6DC5"/>
    <w:rsid w:val="008B72D1"/>
    <w:rsid w:val="008B769E"/>
    <w:rsid w:val="008C03C2"/>
    <w:rsid w:val="008C2897"/>
    <w:rsid w:val="008C3524"/>
    <w:rsid w:val="008C4579"/>
    <w:rsid w:val="008C63C1"/>
    <w:rsid w:val="008C6871"/>
    <w:rsid w:val="008C6E72"/>
    <w:rsid w:val="008C729D"/>
    <w:rsid w:val="008D09AD"/>
    <w:rsid w:val="008D2645"/>
    <w:rsid w:val="008D336D"/>
    <w:rsid w:val="008D4406"/>
    <w:rsid w:val="008D4C7B"/>
    <w:rsid w:val="008D605D"/>
    <w:rsid w:val="008D706E"/>
    <w:rsid w:val="008D7269"/>
    <w:rsid w:val="008D78E7"/>
    <w:rsid w:val="008E01CA"/>
    <w:rsid w:val="008E1893"/>
    <w:rsid w:val="008E235E"/>
    <w:rsid w:val="008E45CC"/>
    <w:rsid w:val="008E7465"/>
    <w:rsid w:val="008E78DA"/>
    <w:rsid w:val="008F10EF"/>
    <w:rsid w:val="008F1622"/>
    <w:rsid w:val="008F2DB4"/>
    <w:rsid w:val="008F35C1"/>
    <w:rsid w:val="008F3863"/>
    <w:rsid w:val="008F413D"/>
    <w:rsid w:val="008F4579"/>
    <w:rsid w:val="008F53BF"/>
    <w:rsid w:val="008F6908"/>
    <w:rsid w:val="008F6F60"/>
    <w:rsid w:val="0090032D"/>
    <w:rsid w:val="00900515"/>
    <w:rsid w:val="00901027"/>
    <w:rsid w:val="00901030"/>
    <w:rsid w:val="00903094"/>
    <w:rsid w:val="009042CB"/>
    <w:rsid w:val="009105DE"/>
    <w:rsid w:val="00910DBD"/>
    <w:rsid w:val="009138A3"/>
    <w:rsid w:val="00914DE8"/>
    <w:rsid w:val="0091525A"/>
    <w:rsid w:val="009205D0"/>
    <w:rsid w:val="00921427"/>
    <w:rsid w:val="00922660"/>
    <w:rsid w:val="00926593"/>
    <w:rsid w:val="009266FB"/>
    <w:rsid w:val="009308D8"/>
    <w:rsid w:val="009309CF"/>
    <w:rsid w:val="00930F06"/>
    <w:rsid w:val="00930F18"/>
    <w:rsid w:val="00931A6E"/>
    <w:rsid w:val="00931CFB"/>
    <w:rsid w:val="00932327"/>
    <w:rsid w:val="00934587"/>
    <w:rsid w:val="00934797"/>
    <w:rsid w:val="009356D7"/>
    <w:rsid w:val="00936AAC"/>
    <w:rsid w:val="0094009C"/>
    <w:rsid w:val="00940683"/>
    <w:rsid w:val="00941198"/>
    <w:rsid w:val="00944038"/>
    <w:rsid w:val="00944632"/>
    <w:rsid w:val="00944F1E"/>
    <w:rsid w:val="00945D88"/>
    <w:rsid w:val="00946C58"/>
    <w:rsid w:val="00947385"/>
    <w:rsid w:val="00951616"/>
    <w:rsid w:val="00951973"/>
    <w:rsid w:val="00951D05"/>
    <w:rsid w:val="00953A66"/>
    <w:rsid w:val="00954224"/>
    <w:rsid w:val="009548DA"/>
    <w:rsid w:val="00954B59"/>
    <w:rsid w:val="00957D4D"/>
    <w:rsid w:val="00961BEC"/>
    <w:rsid w:val="00963956"/>
    <w:rsid w:val="00965029"/>
    <w:rsid w:val="00965255"/>
    <w:rsid w:val="009659E6"/>
    <w:rsid w:val="009674A9"/>
    <w:rsid w:val="0097010F"/>
    <w:rsid w:val="0097012B"/>
    <w:rsid w:val="009707F9"/>
    <w:rsid w:val="009734FC"/>
    <w:rsid w:val="009746A7"/>
    <w:rsid w:val="00974791"/>
    <w:rsid w:val="009750C9"/>
    <w:rsid w:val="00981646"/>
    <w:rsid w:val="009817FA"/>
    <w:rsid w:val="00981ECC"/>
    <w:rsid w:val="00982AF8"/>
    <w:rsid w:val="009843EB"/>
    <w:rsid w:val="00984642"/>
    <w:rsid w:val="00984A88"/>
    <w:rsid w:val="00984D36"/>
    <w:rsid w:val="009854A4"/>
    <w:rsid w:val="00986A8C"/>
    <w:rsid w:val="00987127"/>
    <w:rsid w:val="00987380"/>
    <w:rsid w:val="00990CBE"/>
    <w:rsid w:val="00992C7B"/>
    <w:rsid w:val="00993003"/>
    <w:rsid w:val="009932C6"/>
    <w:rsid w:val="009936B6"/>
    <w:rsid w:val="00995BC8"/>
    <w:rsid w:val="009A017B"/>
    <w:rsid w:val="009A1826"/>
    <w:rsid w:val="009A1A05"/>
    <w:rsid w:val="009A6174"/>
    <w:rsid w:val="009A6BD5"/>
    <w:rsid w:val="009B0136"/>
    <w:rsid w:val="009B251C"/>
    <w:rsid w:val="009B2FAE"/>
    <w:rsid w:val="009B34F1"/>
    <w:rsid w:val="009B3F68"/>
    <w:rsid w:val="009B41FC"/>
    <w:rsid w:val="009C1340"/>
    <w:rsid w:val="009C3941"/>
    <w:rsid w:val="009C3BB3"/>
    <w:rsid w:val="009C3CB5"/>
    <w:rsid w:val="009C59AD"/>
    <w:rsid w:val="009C5A91"/>
    <w:rsid w:val="009C6017"/>
    <w:rsid w:val="009C6BD1"/>
    <w:rsid w:val="009C6DD3"/>
    <w:rsid w:val="009D1E5B"/>
    <w:rsid w:val="009D223E"/>
    <w:rsid w:val="009D29A0"/>
    <w:rsid w:val="009D2D71"/>
    <w:rsid w:val="009D2E87"/>
    <w:rsid w:val="009D3953"/>
    <w:rsid w:val="009D3F69"/>
    <w:rsid w:val="009D61A9"/>
    <w:rsid w:val="009D78A2"/>
    <w:rsid w:val="009E29E4"/>
    <w:rsid w:val="009E2B2E"/>
    <w:rsid w:val="009E3FE6"/>
    <w:rsid w:val="009E4E0B"/>
    <w:rsid w:val="009E6A84"/>
    <w:rsid w:val="009E6E54"/>
    <w:rsid w:val="009E7D11"/>
    <w:rsid w:val="009F1B2B"/>
    <w:rsid w:val="009F2603"/>
    <w:rsid w:val="009F3302"/>
    <w:rsid w:val="009F3EC2"/>
    <w:rsid w:val="009F41B5"/>
    <w:rsid w:val="00A04E2A"/>
    <w:rsid w:val="00A05B34"/>
    <w:rsid w:val="00A063FF"/>
    <w:rsid w:val="00A10B27"/>
    <w:rsid w:val="00A12301"/>
    <w:rsid w:val="00A1236B"/>
    <w:rsid w:val="00A12D8A"/>
    <w:rsid w:val="00A13075"/>
    <w:rsid w:val="00A1410F"/>
    <w:rsid w:val="00A14984"/>
    <w:rsid w:val="00A14CAB"/>
    <w:rsid w:val="00A159AD"/>
    <w:rsid w:val="00A2038F"/>
    <w:rsid w:val="00A247DB"/>
    <w:rsid w:val="00A24BF7"/>
    <w:rsid w:val="00A26581"/>
    <w:rsid w:val="00A2770D"/>
    <w:rsid w:val="00A278D0"/>
    <w:rsid w:val="00A30923"/>
    <w:rsid w:val="00A3393F"/>
    <w:rsid w:val="00A34793"/>
    <w:rsid w:val="00A35BE5"/>
    <w:rsid w:val="00A3789E"/>
    <w:rsid w:val="00A421A2"/>
    <w:rsid w:val="00A42698"/>
    <w:rsid w:val="00A43853"/>
    <w:rsid w:val="00A43977"/>
    <w:rsid w:val="00A44FDE"/>
    <w:rsid w:val="00A4692E"/>
    <w:rsid w:val="00A46B6E"/>
    <w:rsid w:val="00A474CD"/>
    <w:rsid w:val="00A47A93"/>
    <w:rsid w:val="00A50B70"/>
    <w:rsid w:val="00A5312A"/>
    <w:rsid w:val="00A536AA"/>
    <w:rsid w:val="00A546DF"/>
    <w:rsid w:val="00A5790A"/>
    <w:rsid w:val="00A60AC4"/>
    <w:rsid w:val="00A62C1C"/>
    <w:rsid w:val="00A64661"/>
    <w:rsid w:val="00A650F9"/>
    <w:rsid w:val="00A655E6"/>
    <w:rsid w:val="00A659FE"/>
    <w:rsid w:val="00A65AF6"/>
    <w:rsid w:val="00A67DFC"/>
    <w:rsid w:val="00A7022E"/>
    <w:rsid w:val="00A715C3"/>
    <w:rsid w:val="00A72C69"/>
    <w:rsid w:val="00A735C3"/>
    <w:rsid w:val="00A73D11"/>
    <w:rsid w:val="00A74859"/>
    <w:rsid w:val="00A7536C"/>
    <w:rsid w:val="00A76E65"/>
    <w:rsid w:val="00A778E5"/>
    <w:rsid w:val="00A80504"/>
    <w:rsid w:val="00A8194C"/>
    <w:rsid w:val="00A821BE"/>
    <w:rsid w:val="00A829DA"/>
    <w:rsid w:val="00A839F1"/>
    <w:rsid w:val="00A84C2C"/>
    <w:rsid w:val="00A85E55"/>
    <w:rsid w:val="00A87E93"/>
    <w:rsid w:val="00A92AA3"/>
    <w:rsid w:val="00A945DF"/>
    <w:rsid w:val="00A9571C"/>
    <w:rsid w:val="00A9603B"/>
    <w:rsid w:val="00A977D6"/>
    <w:rsid w:val="00AA04F9"/>
    <w:rsid w:val="00AA0D5B"/>
    <w:rsid w:val="00AA1597"/>
    <w:rsid w:val="00AA2253"/>
    <w:rsid w:val="00AA38BD"/>
    <w:rsid w:val="00AA5413"/>
    <w:rsid w:val="00AA6A8C"/>
    <w:rsid w:val="00AA7D16"/>
    <w:rsid w:val="00AB00E5"/>
    <w:rsid w:val="00AB0C4A"/>
    <w:rsid w:val="00AB13B6"/>
    <w:rsid w:val="00AB1741"/>
    <w:rsid w:val="00AB3679"/>
    <w:rsid w:val="00AB56C2"/>
    <w:rsid w:val="00AB5E6F"/>
    <w:rsid w:val="00AB64B5"/>
    <w:rsid w:val="00AB6683"/>
    <w:rsid w:val="00AB6F3C"/>
    <w:rsid w:val="00AB74E7"/>
    <w:rsid w:val="00AC0EC0"/>
    <w:rsid w:val="00AC1373"/>
    <w:rsid w:val="00AC2959"/>
    <w:rsid w:val="00AC310A"/>
    <w:rsid w:val="00AC3309"/>
    <w:rsid w:val="00AC352D"/>
    <w:rsid w:val="00AC3F16"/>
    <w:rsid w:val="00AC5FFD"/>
    <w:rsid w:val="00AC636E"/>
    <w:rsid w:val="00AC7177"/>
    <w:rsid w:val="00AC725A"/>
    <w:rsid w:val="00AD12ED"/>
    <w:rsid w:val="00AD16C3"/>
    <w:rsid w:val="00AD2251"/>
    <w:rsid w:val="00AD31AA"/>
    <w:rsid w:val="00AD38CA"/>
    <w:rsid w:val="00AD4A8E"/>
    <w:rsid w:val="00AD52A1"/>
    <w:rsid w:val="00AD54C7"/>
    <w:rsid w:val="00AD6102"/>
    <w:rsid w:val="00AD7FDB"/>
    <w:rsid w:val="00AE0B3B"/>
    <w:rsid w:val="00AE29F8"/>
    <w:rsid w:val="00AE2E78"/>
    <w:rsid w:val="00AE3272"/>
    <w:rsid w:val="00AE4108"/>
    <w:rsid w:val="00AE57E0"/>
    <w:rsid w:val="00AE5D2C"/>
    <w:rsid w:val="00AE60C5"/>
    <w:rsid w:val="00AF0B82"/>
    <w:rsid w:val="00AF2346"/>
    <w:rsid w:val="00AF2DDF"/>
    <w:rsid w:val="00AF493D"/>
    <w:rsid w:val="00AF4DD3"/>
    <w:rsid w:val="00AF5305"/>
    <w:rsid w:val="00B0114A"/>
    <w:rsid w:val="00B01CF1"/>
    <w:rsid w:val="00B02311"/>
    <w:rsid w:val="00B023B3"/>
    <w:rsid w:val="00B02C8D"/>
    <w:rsid w:val="00B032CE"/>
    <w:rsid w:val="00B0347A"/>
    <w:rsid w:val="00B036F4"/>
    <w:rsid w:val="00B03802"/>
    <w:rsid w:val="00B0576C"/>
    <w:rsid w:val="00B10C67"/>
    <w:rsid w:val="00B1167E"/>
    <w:rsid w:val="00B12A0B"/>
    <w:rsid w:val="00B12B85"/>
    <w:rsid w:val="00B14F9E"/>
    <w:rsid w:val="00B16BCE"/>
    <w:rsid w:val="00B17CFD"/>
    <w:rsid w:val="00B2044A"/>
    <w:rsid w:val="00B215E0"/>
    <w:rsid w:val="00B244B3"/>
    <w:rsid w:val="00B25401"/>
    <w:rsid w:val="00B25AB0"/>
    <w:rsid w:val="00B3304F"/>
    <w:rsid w:val="00B34663"/>
    <w:rsid w:val="00B35124"/>
    <w:rsid w:val="00B3519B"/>
    <w:rsid w:val="00B352AF"/>
    <w:rsid w:val="00B36FD6"/>
    <w:rsid w:val="00B4091D"/>
    <w:rsid w:val="00B40E9D"/>
    <w:rsid w:val="00B40FD8"/>
    <w:rsid w:val="00B41382"/>
    <w:rsid w:val="00B41980"/>
    <w:rsid w:val="00B42D30"/>
    <w:rsid w:val="00B4415D"/>
    <w:rsid w:val="00B45446"/>
    <w:rsid w:val="00B45F79"/>
    <w:rsid w:val="00B46A65"/>
    <w:rsid w:val="00B51C35"/>
    <w:rsid w:val="00B520EE"/>
    <w:rsid w:val="00B52329"/>
    <w:rsid w:val="00B53044"/>
    <w:rsid w:val="00B53C9A"/>
    <w:rsid w:val="00B56395"/>
    <w:rsid w:val="00B6011C"/>
    <w:rsid w:val="00B609D2"/>
    <w:rsid w:val="00B62165"/>
    <w:rsid w:val="00B63C54"/>
    <w:rsid w:val="00B64D2D"/>
    <w:rsid w:val="00B65722"/>
    <w:rsid w:val="00B65934"/>
    <w:rsid w:val="00B70146"/>
    <w:rsid w:val="00B709B6"/>
    <w:rsid w:val="00B722E7"/>
    <w:rsid w:val="00B7471C"/>
    <w:rsid w:val="00B751E8"/>
    <w:rsid w:val="00B75994"/>
    <w:rsid w:val="00B76D1B"/>
    <w:rsid w:val="00B77074"/>
    <w:rsid w:val="00B77CF9"/>
    <w:rsid w:val="00B8012E"/>
    <w:rsid w:val="00B82E9A"/>
    <w:rsid w:val="00B833E6"/>
    <w:rsid w:val="00B84EE0"/>
    <w:rsid w:val="00B85116"/>
    <w:rsid w:val="00B866B3"/>
    <w:rsid w:val="00B86FF3"/>
    <w:rsid w:val="00B9050F"/>
    <w:rsid w:val="00B9071A"/>
    <w:rsid w:val="00B90D6A"/>
    <w:rsid w:val="00B91229"/>
    <w:rsid w:val="00B9264B"/>
    <w:rsid w:val="00B92FBD"/>
    <w:rsid w:val="00B93D2D"/>
    <w:rsid w:val="00B96DE8"/>
    <w:rsid w:val="00BA047D"/>
    <w:rsid w:val="00BA1762"/>
    <w:rsid w:val="00BA1896"/>
    <w:rsid w:val="00BA2AEB"/>
    <w:rsid w:val="00BA3566"/>
    <w:rsid w:val="00BA4891"/>
    <w:rsid w:val="00BA507A"/>
    <w:rsid w:val="00BB116C"/>
    <w:rsid w:val="00BB2985"/>
    <w:rsid w:val="00BB3528"/>
    <w:rsid w:val="00BB400A"/>
    <w:rsid w:val="00BB4590"/>
    <w:rsid w:val="00BB592C"/>
    <w:rsid w:val="00BB71C7"/>
    <w:rsid w:val="00BB7449"/>
    <w:rsid w:val="00BC02AC"/>
    <w:rsid w:val="00BC09D9"/>
    <w:rsid w:val="00BC15AB"/>
    <w:rsid w:val="00BC1747"/>
    <w:rsid w:val="00BC29A7"/>
    <w:rsid w:val="00BC34A3"/>
    <w:rsid w:val="00BC364F"/>
    <w:rsid w:val="00BC3C80"/>
    <w:rsid w:val="00BC4AFE"/>
    <w:rsid w:val="00BC4CE3"/>
    <w:rsid w:val="00BC4DA8"/>
    <w:rsid w:val="00BC5AE8"/>
    <w:rsid w:val="00BC66FE"/>
    <w:rsid w:val="00BD1996"/>
    <w:rsid w:val="00BD4ED0"/>
    <w:rsid w:val="00BD6E20"/>
    <w:rsid w:val="00BD756F"/>
    <w:rsid w:val="00BD7FA2"/>
    <w:rsid w:val="00BE09B2"/>
    <w:rsid w:val="00BE103E"/>
    <w:rsid w:val="00BE5230"/>
    <w:rsid w:val="00BE56CC"/>
    <w:rsid w:val="00BE6668"/>
    <w:rsid w:val="00BE6769"/>
    <w:rsid w:val="00BE6DAD"/>
    <w:rsid w:val="00BE72BB"/>
    <w:rsid w:val="00BF151E"/>
    <w:rsid w:val="00BF1B47"/>
    <w:rsid w:val="00BF2DDD"/>
    <w:rsid w:val="00BF3F67"/>
    <w:rsid w:val="00C00015"/>
    <w:rsid w:val="00C0098E"/>
    <w:rsid w:val="00C027C4"/>
    <w:rsid w:val="00C0345B"/>
    <w:rsid w:val="00C0364E"/>
    <w:rsid w:val="00C04EAF"/>
    <w:rsid w:val="00C054E4"/>
    <w:rsid w:val="00C06BFA"/>
    <w:rsid w:val="00C0764C"/>
    <w:rsid w:val="00C11DA9"/>
    <w:rsid w:val="00C130C0"/>
    <w:rsid w:val="00C13F58"/>
    <w:rsid w:val="00C17094"/>
    <w:rsid w:val="00C1730F"/>
    <w:rsid w:val="00C20B87"/>
    <w:rsid w:val="00C21AB8"/>
    <w:rsid w:val="00C24A46"/>
    <w:rsid w:val="00C24AA7"/>
    <w:rsid w:val="00C25166"/>
    <w:rsid w:val="00C25170"/>
    <w:rsid w:val="00C31EA9"/>
    <w:rsid w:val="00C365D8"/>
    <w:rsid w:val="00C42228"/>
    <w:rsid w:val="00C42CBA"/>
    <w:rsid w:val="00C43841"/>
    <w:rsid w:val="00C44506"/>
    <w:rsid w:val="00C44570"/>
    <w:rsid w:val="00C462F4"/>
    <w:rsid w:val="00C46BDD"/>
    <w:rsid w:val="00C500FF"/>
    <w:rsid w:val="00C506D8"/>
    <w:rsid w:val="00C527E5"/>
    <w:rsid w:val="00C531ED"/>
    <w:rsid w:val="00C53441"/>
    <w:rsid w:val="00C534E9"/>
    <w:rsid w:val="00C53CCE"/>
    <w:rsid w:val="00C555BE"/>
    <w:rsid w:val="00C55B81"/>
    <w:rsid w:val="00C5640B"/>
    <w:rsid w:val="00C57C30"/>
    <w:rsid w:val="00C57E14"/>
    <w:rsid w:val="00C61580"/>
    <w:rsid w:val="00C62538"/>
    <w:rsid w:val="00C63809"/>
    <w:rsid w:val="00C63BDB"/>
    <w:rsid w:val="00C6450D"/>
    <w:rsid w:val="00C661F4"/>
    <w:rsid w:val="00C66C60"/>
    <w:rsid w:val="00C72ADE"/>
    <w:rsid w:val="00C73169"/>
    <w:rsid w:val="00C73F5B"/>
    <w:rsid w:val="00C76BDE"/>
    <w:rsid w:val="00C77810"/>
    <w:rsid w:val="00C77B2B"/>
    <w:rsid w:val="00C802AB"/>
    <w:rsid w:val="00C80479"/>
    <w:rsid w:val="00C81FB0"/>
    <w:rsid w:val="00C82B40"/>
    <w:rsid w:val="00C8380B"/>
    <w:rsid w:val="00C8391B"/>
    <w:rsid w:val="00C84D35"/>
    <w:rsid w:val="00C875E5"/>
    <w:rsid w:val="00C877B7"/>
    <w:rsid w:val="00C90E62"/>
    <w:rsid w:val="00C924B4"/>
    <w:rsid w:val="00C92873"/>
    <w:rsid w:val="00C93680"/>
    <w:rsid w:val="00C94CBF"/>
    <w:rsid w:val="00C959FD"/>
    <w:rsid w:val="00C95C60"/>
    <w:rsid w:val="00C95DD7"/>
    <w:rsid w:val="00C95F1D"/>
    <w:rsid w:val="00C97382"/>
    <w:rsid w:val="00C97FC9"/>
    <w:rsid w:val="00CA005F"/>
    <w:rsid w:val="00CA1F8D"/>
    <w:rsid w:val="00CA47FD"/>
    <w:rsid w:val="00CA4B04"/>
    <w:rsid w:val="00CA5027"/>
    <w:rsid w:val="00CA5A72"/>
    <w:rsid w:val="00CA64BE"/>
    <w:rsid w:val="00CA6E8A"/>
    <w:rsid w:val="00CA7B37"/>
    <w:rsid w:val="00CB0DF3"/>
    <w:rsid w:val="00CB2328"/>
    <w:rsid w:val="00CB56DB"/>
    <w:rsid w:val="00CB6EAD"/>
    <w:rsid w:val="00CC02CB"/>
    <w:rsid w:val="00CC07FA"/>
    <w:rsid w:val="00CC3897"/>
    <w:rsid w:val="00CC3DF2"/>
    <w:rsid w:val="00CC42FF"/>
    <w:rsid w:val="00CC5540"/>
    <w:rsid w:val="00CC711F"/>
    <w:rsid w:val="00CC7D45"/>
    <w:rsid w:val="00CD06BE"/>
    <w:rsid w:val="00CD09FE"/>
    <w:rsid w:val="00CD0B11"/>
    <w:rsid w:val="00CD195F"/>
    <w:rsid w:val="00CD25B2"/>
    <w:rsid w:val="00CD28A1"/>
    <w:rsid w:val="00CD58A7"/>
    <w:rsid w:val="00CD643E"/>
    <w:rsid w:val="00CD6C7A"/>
    <w:rsid w:val="00CD77FB"/>
    <w:rsid w:val="00CD7949"/>
    <w:rsid w:val="00CD7BA7"/>
    <w:rsid w:val="00CE1CBE"/>
    <w:rsid w:val="00CE20F4"/>
    <w:rsid w:val="00CE28CB"/>
    <w:rsid w:val="00CE436E"/>
    <w:rsid w:val="00CE4E9B"/>
    <w:rsid w:val="00CE5129"/>
    <w:rsid w:val="00CE6C1F"/>
    <w:rsid w:val="00CF0AB9"/>
    <w:rsid w:val="00CF25DD"/>
    <w:rsid w:val="00CF3AEE"/>
    <w:rsid w:val="00CF58D1"/>
    <w:rsid w:val="00CF65A1"/>
    <w:rsid w:val="00CF6AEF"/>
    <w:rsid w:val="00CF7A69"/>
    <w:rsid w:val="00CF7E3D"/>
    <w:rsid w:val="00D01719"/>
    <w:rsid w:val="00D02D49"/>
    <w:rsid w:val="00D03FA3"/>
    <w:rsid w:val="00D0597C"/>
    <w:rsid w:val="00D059C4"/>
    <w:rsid w:val="00D069A4"/>
    <w:rsid w:val="00D07121"/>
    <w:rsid w:val="00D072B1"/>
    <w:rsid w:val="00D0737C"/>
    <w:rsid w:val="00D10A5D"/>
    <w:rsid w:val="00D125C6"/>
    <w:rsid w:val="00D15017"/>
    <w:rsid w:val="00D15CB7"/>
    <w:rsid w:val="00D17DC5"/>
    <w:rsid w:val="00D201D1"/>
    <w:rsid w:val="00D21248"/>
    <w:rsid w:val="00D2222E"/>
    <w:rsid w:val="00D23208"/>
    <w:rsid w:val="00D234F6"/>
    <w:rsid w:val="00D238EA"/>
    <w:rsid w:val="00D242E1"/>
    <w:rsid w:val="00D24796"/>
    <w:rsid w:val="00D2682D"/>
    <w:rsid w:val="00D273E0"/>
    <w:rsid w:val="00D278D4"/>
    <w:rsid w:val="00D31257"/>
    <w:rsid w:val="00D31B9F"/>
    <w:rsid w:val="00D32A60"/>
    <w:rsid w:val="00D32FE3"/>
    <w:rsid w:val="00D338E8"/>
    <w:rsid w:val="00D349F6"/>
    <w:rsid w:val="00D352A0"/>
    <w:rsid w:val="00D369D2"/>
    <w:rsid w:val="00D40250"/>
    <w:rsid w:val="00D40A1F"/>
    <w:rsid w:val="00D434E2"/>
    <w:rsid w:val="00D43B84"/>
    <w:rsid w:val="00D44883"/>
    <w:rsid w:val="00D449C3"/>
    <w:rsid w:val="00D45A0C"/>
    <w:rsid w:val="00D475D9"/>
    <w:rsid w:val="00D47C37"/>
    <w:rsid w:val="00D47DDA"/>
    <w:rsid w:val="00D516B6"/>
    <w:rsid w:val="00D521DC"/>
    <w:rsid w:val="00D55C72"/>
    <w:rsid w:val="00D57ADB"/>
    <w:rsid w:val="00D60A37"/>
    <w:rsid w:val="00D60C24"/>
    <w:rsid w:val="00D60F6D"/>
    <w:rsid w:val="00D61B5D"/>
    <w:rsid w:val="00D6200F"/>
    <w:rsid w:val="00D64B14"/>
    <w:rsid w:val="00D64DD9"/>
    <w:rsid w:val="00D65DD8"/>
    <w:rsid w:val="00D669AD"/>
    <w:rsid w:val="00D6703A"/>
    <w:rsid w:val="00D67312"/>
    <w:rsid w:val="00D70201"/>
    <w:rsid w:val="00D71F53"/>
    <w:rsid w:val="00D72043"/>
    <w:rsid w:val="00D7210E"/>
    <w:rsid w:val="00D7252B"/>
    <w:rsid w:val="00D73449"/>
    <w:rsid w:val="00D73A4C"/>
    <w:rsid w:val="00D7414B"/>
    <w:rsid w:val="00D757EA"/>
    <w:rsid w:val="00D76599"/>
    <w:rsid w:val="00D77581"/>
    <w:rsid w:val="00D80EE6"/>
    <w:rsid w:val="00D830A1"/>
    <w:rsid w:val="00D85053"/>
    <w:rsid w:val="00D9082D"/>
    <w:rsid w:val="00D90A44"/>
    <w:rsid w:val="00D91EFB"/>
    <w:rsid w:val="00D93090"/>
    <w:rsid w:val="00D93724"/>
    <w:rsid w:val="00D94A72"/>
    <w:rsid w:val="00D97041"/>
    <w:rsid w:val="00D97234"/>
    <w:rsid w:val="00D97298"/>
    <w:rsid w:val="00D975EA"/>
    <w:rsid w:val="00DA0508"/>
    <w:rsid w:val="00DA0825"/>
    <w:rsid w:val="00DA0913"/>
    <w:rsid w:val="00DA0EBB"/>
    <w:rsid w:val="00DA54C8"/>
    <w:rsid w:val="00DB1935"/>
    <w:rsid w:val="00DB36CB"/>
    <w:rsid w:val="00DB4BE2"/>
    <w:rsid w:val="00DB5C19"/>
    <w:rsid w:val="00DC06D4"/>
    <w:rsid w:val="00DC1738"/>
    <w:rsid w:val="00DC5606"/>
    <w:rsid w:val="00DC70A6"/>
    <w:rsid w:val="00DC754A"/>
    <w:rsid w:val="00DC7746"/>
    <w:rsid w:val="00DC7E43"/>
    <w:rsid w:val="00DD1B01"/>
    <w:rsid w:val="00DD234C"/>
    <w:rsid w:val="00DD2A86"/>
    <w:rsid w:val="00DD36EC"/>
    <w:rsid w:val="00DD399F"/>
    <w:rsid w:val="00DD6482"/>
    <w:rsid w:val="00DE3DAD"/>
    <w:rsid w:val="00DE40CC"/>
    <w:rsid w:val="00DE437F"/>
    <w:rsid w:val="00DE5C71"/>
    <w:rsid w:val="00DE66A9"/>
    <w:rsid w:val="00DE68CA"/>
    <w:rsid w:val="00DE6DA2"/>
    <w:rsid w:val="00DE6DCB"/>
    <w:rsid w:val="00DE7A92"/>
    <w:rsid w:val="00DF156A"/>
    <w:rsid w:val="00DF1742"/>
    <w:rsid w:val="00DF33D7"/>
    <w:rsid w:val="00DF5974"/>
    <w:rsid w:val="00DF6891"/>
    <w:rsid w:val="00DF6A68"/>
    <w:rsid w:val="00E00508"/>
    <w:rsid w:val="00E00DB6"/>
    <w:rsid w:val="00E01832"/>
    <w:rsid w:val="00E01D11"/>
    <w:rsid w:val="00E02F3B"/>
    <w:rsid w:val="00E0386F"/>
    <w:rsid w:val="00E04BF0"/>
    <w:rsid w:val="00E04F3B"/>
    <w:rsid w:val="00E06984"/>
    <w:rsid w:val="00E06F60"/>
    <w:rsid w:val="00E071DA"/>
    <w:rsid w:val="00E11968"/>
    <w:rsid w:val="00E12405"/>
    <w:rsid w:val="00E14AA6"/>
    <w:rsid w:val="00E14D52"/>
    <w:rsid w:val="00E17BD2"/>
    <w:rsid w:val="00E204AE"/>
    <w:rsid w:val="00E23C1E"/>
    <w:rsid w:val="00E2425D"/>
    <w:rsid w:val="00E24977"/>
    <w:rsid w:val="00E25234"/>
    <w:rsid w:val="00E2543A"/>
    <w:rsid w:val="00E25C91"/>
    <w:rsid w:val="00E27721"/>
    <w:rsid w:val="00E27EC4"/>
    <w:rsid w:val="00E31465"/>
    <w:rsid w:val="00E34003"/>
    <w:rsid w:val="00E34B69"/>
    <w:rsid w:val="00E34D19"/>
    <w:rsid w:val="00E37F63"/>
    <w:rsid w:val="00E40F27"/>
    <w:rsid w:val="00E45055"/>
    <w:rsid w:val="00E45253"/>
    <w:rsid w:val="00E45803"/>
    <w:rsid w:val="00E46570"/>
    <w:rsid w:val="00E4781E"/>
    <w:rsid w:val="00E47E4C"/>
    <w:rsid w:val="00E50C31"/>
    <w:rsid w:val="00E50C90"/>
    <w:rsid w:val="00E51FAA"/>
    <w:rsid w:val="00E54939"/>
    <w:rsid w:val="00E55A71"/>
    <w:rsid w:val="00E60216"/>
    <w:rsid w:val="00E60E06"/>
    <w:rsid w:val="00E63A85"/>
    <w:rsid w:val="00E63F5E"/>
    <w:rsid w:val="00E63FE9"/>
    <w:rsid w:val="00E65B36"/>
    <w:rsid w:val="00E65C7A"/>
    <w:rsid w:val="00E66350"/>
    <w:rsid w:val="00E67D7C"/>
    <w:rsid w:val="00E74766"/>
    <w:rsid w:val="00E754D0"/>
    <w:rsid w:val="00E76956"/>
    <w:rsid w:val="00E77816"/>
    <w:rsid w:val="00E80270"/>
    <w:rsid w:val="00E81464"/>
    <w:rsid w:val="00E81CA6"/>
    <w:rsid w:val="00E82375"/>
    <w:rsid w:val="00E824CC"/>
    <w:rsid w:val="00E840BB"/>
    <w:rsid w:val="00E8520C"/>
    <w:rsid w:val="00E86875"/>
    <w:rsid w:val="00E87AF1"/>
    <w:rsid w:val="00E90F29"/>
    <w:rsid w:val="00E912EB"/>
    <w:rsid w:val="00E922FC"/>
    <w:rsid w:val="00E92F91"/>
    <w:rsid w:val="00E938DA"/>
    <w:rsid w:val="00E93E4D"/>
    <w:rsid w:val="00E966FD"/>
    <w:rsid w:val="00E96BA6"/>
    <w:rsid w:val="00E97354"/>
    <w:rsid w:val="00EA1882"/>
    <w:rsid w:val="00EA3232"/>
    <w:rsid w:val="00EA4DF7"/>
    <w:rsid w:val="00EA6DFA"/>
    <w:rsid w:val="00EA74D8"/>
    <w:rsid w:val="00EA7F5C"/>
    <w:rsid w:val="00EB0CFC"/>
    <w:rsid w:val="00EB23CC"/>
    <w:rsid w:val="00EB2B96"/>
    <w:rsid w:val="00EB62CB"/>
    <w:rsid w:val="00EB64F5"/>
    <w:rsid w:val="00EB6662"/>
    <w:rsid w:val="00EB7626"/>
    <w:rsid w:val="00EB7B1C"/>
    <w:rsid w:val="00EC0DD1"/>
    <w:rsid w:val="00EC1563"/>
    <w:rsid w:val="00EC1C0F"/>
    <w:rsid w:val="00EC1D7D"/>
    <w:rsid w:val="00EC31BF"/>
    <w:rsid w:val="00EC328A"/>
    <w:rsid w:val="00EC4CC8"/>
    <w:rsid w:val="00EC62E5"/>
    <w:rsid w:val="00ED0BC1"/>
    <w:rsid w:val="00ED101D"/>
    <w:rsid w:val="00ED1B8E"/>
    <w:rsid w:val="00ED2976"/>
    <w:rsid w:val="00ED323E"/>
    <w:rsid w:val="00ED3444"/>
    <w:rsid w:val="00ED3C89"/>
    <w:rsid w:val="00ED45B2"/>
    <w:rsid w:val="00ED4D8A"/>
    <w:rsid w:val="00ED6FFD"/>
    <w:rsid w:val="00ED7EA4"/>
    <w:rsid w:val="00EE1283"/>
    <w:rsid w:val="00EE3ED5"/>
    <w:rsid w:val="00EE7A68"/>
    <w:rsid w:val="00EE7EAC"/>
    <w:rsid w:val="00EF006B"/>
    <w:rsid w:val="00EF01A7"/>
    <w:rsid w:val="00EF04FA"/>
    <w:rsid w:val="00EF124E"/>
    <w:rsid w:val="00EF1334"/>
    <w:rsid w:val="00EF46B1"/>
    <w:rsid w:val="00EF4EE3"/>
    <w:rsid w:val="00EF6075"/>
    <w:rsid w:val="00EF69F9"/>
    <w:rsid w:val="00EF7A56"/>
    <w:rsid w:val="00F01173"/>
    <w:rsid w:val="00F01707"/>
    <w:rsid w:val="00F02E97"/>
    <w:rsid w:val="00F03C15"/>
    <w:rsid w:val="00F0455E"/>
    <w:rsid w:val="00F0538D"/>
    <w:rsid w:val="00F058F8"/>
    <w:rsid w:val="00F0621C"/>
    <w:rsid w:val="00F102E4"/>
    <w:rsid w:val="00F1089F"/>
    <w:rsid w:val="00F108B2"/>
    <w:rsid w:val="00F113C3"/>
    <w:rsid w:val="00F12741"/>
    <w:rsid w:val="00F1364A"/>
    <w:rsid w:val="00F13704"/>
    <w:rsid w:val="00F13983"/>
    <w:rsid w:val="00F14B39"/>
    <w:rsid w:val="00F14CC8"/>
    <w:rsid w:val="00F1737C"/>
    <w:rsid w:val="00F17BB5"/>
    <w:rsid w:val="00F2014C"/>
    <w:rsid w:val="00F20C57"/>
    <w:rsid w:val="00F20E03"/>
    <w:rsid w:val="00F23017"/>
    <w:rsid w:val="00F24D61"/>
    <w:rsid w:val="00F262C6"/>
    <w:rsid w:val="00F265FB"/>
    <w:rsid w:val="00F27CD2"/>
    <w:rsid w:val="00F31E8B"/>
    <w:rsid w:val="00F32763"/>
    <w:rsid w:val="00F35C7C"/>
    <w:rsid w:val="00F36B60"/>
    <w:rsid w:val="00F37C5D"/>
    <w:rsid w:val="00F4077F"/>
    <w:rsid w:val="00F4257C"/>
    <w:rsid w:val="00F43F78"/>
    <w:rsid w:val="00F44201"/>
    <w:rsid w:val="00F4615F"/>
    <w:rsid w:val="00F47616"/>
    <w:rsid w:val="00F47A1F"/>
    <w:rsid w:val="00F508E1"/>
    <w:rsid w:val="00F5185E"/>
    <w:rsid w:val="00F53F5F"/>
    <w:rsid w:val="00F54BB6"/>
    <w:rsid w:val="00F57BBA"/>
    <w:rsid w:val="00F61777"/>
    <w:rsid w:val="00F62A42"/>
    <w:rsid w:val="00F6316B"/>
    <w:rsid w:val="00F642D8"/>
    <w:rsid w:val="00F6490A"/>
    <w:rsid w:val="00F650B7"/>
    <w:rsid w:val="00F679AE"/>
    <w:rsid w:val="00F70227"/>
    <w:rsid w:val="00F70255"/>
    <w:rsid w:val="00F706AF"/>
    <w:rsid w:val="00F710CE"/>
    <w:rsid w:val="00F72A45"/>
    <w:rsid w:val="00F73F94"/>
    <w:rsid w:val="00F75131"/>
    <w:rsid w:val="00F7574A"/>
    <w:rsid w:val="00F75891"/>
    <w:rsid w:val="00F75C87"/>
    <w:rsid w:val="00F76390"/>
    <w:rsid w:val="00F805FF"/>
    <w:rsid w:val="00F812F0"/>
    <w:rsid w:val="00F822AD"/>
    <w:rsid w:val="00F82F29"/>
    <w:rsid w:val="00F858DB"/>
    <w:rsid w:val="00F86597"/>
    <w:rsid w:val="00F8661F"/>
    <w:rsid w:val="00F90487"/>
    <w:rsid w:val="00F90AE1"/>
    <w:rsid w:val="00F923B1"/>
    <w:rsid w:val="00F9446D"/>
    <w:rsid w:val="00F946AE"/>
    <w:rsid w:val="00F9493F"/>
    <w:rsid w:val="00F96AC7"/>
    <w:rsid w:val="00F971F1"/>
    <w:rsid w:val="00FA037E"/>
    <w:rsid w:val="00FA1B82"/>
    <w:rsid w:val="00FA1F5A"/>
    <w:rsid w:val="00FA3084"/>
    <w:rsid w:val="00FA4E1D"/>
    <w:rsid w:val="00FA55AD"/>
    <w:rsid w:val="00FA5B9F"/>
    <w:rsid w:val="00FA5C5F"/>
    <w:rsid w:val="00FB21CD"/>
    <w:rsid w:val="00FB2279"/>
    <w:rsid w:val="00FB23CD"/>
    <w:rsid w:val="00FB3C29"/>
    <w:rsid w:val="00FB3FE0"/>
    <w:rsid w:val="00FB4B9A"/>
    <w:rsid w:val="00FB4BA1"/>
    <w:rsid w:val="00FB540E"/>
    <w:rsid w:val="00FB79C1"/>
    <w:rsid w:val="00FC49DD"/>
    <w:rsid w:val="00FC4B43"/>
    <w:rsid w:val="00FC56AB"/>
    <w:rsid w:val="00FC60ED"/>
    <w:rsid w:val="00FC6E11"/>
    <w:rsid w:val="00FD04C7"/>
    <w:rsid w:val="00FD130E"/>
    <w:rsid w:val="00FD3194"/>
    <w:rsid w:val="00FD343F"/>
    <w:rsid w:val="00FD3890"/>
    <w:rsid w:val="00FD4033"/>
    <w:rsid w:val="00FD4270"/>
    <w:rsid w:val="00FD4801"/>
    <w:rsid w:val="00FD489F"/>
    <w:rsid w:val="00FD4F82"/>
    <w:rsid w:val="00FD51AD"/>
    <w:rsid w:val="00FD5251"/>
    <w:rsid w:val="00FD7035"/>
    <w:rsid w:val="00FD7072"/>
    <w:rsid w:val="00FE07FD"/>
    <w:rsid w:val="00FE1D7E"/>
    <w:rsid w:val="00FE42BC"/>
    <w:rsid w:val="00FE6D45"/>
    <w:rsid w:val="00FF04ED"/>
    <w:rsid w:val="00FF0EB0"/>
    <w:rsid w:val="00FF1592"/>
    <w:rsid w:val="00FF193A"/>
    <w:rsid w:val="00FF1C48"/>
    <w:rsid w:val="00FF2697"/>
    <w:rsid w:val="00FF2C51"/>
    <w:rsid w:val="00FF3549"/>
    <w:rsid w:val="00FF459E"/>
    <w:rsid w:val="00FF49AD"/>
    <w:rsid w:val="00FF662E"/>
    <w:rsid w:val="00FF6A00"/>
    <w:rsid w:val="00FF76F4"/>
    <w:rsid w:val="00FF7A61"/>
    <w:rsid w:val="060F5293"/>
    <w:rsid w:val="0736CA9D"/>
    <w:rsid w:val="20A5FD60"/>
    <w:rsid w:val="22D1972D"/>
    <w:rsid w:val="2491352D"/>
    <w:rsid w:val="2EB0B01F"/>
    <w:rsid w:val="2F997518"/>
    <w:rsid w:val="32F40CCB"/>
    <w:rsid w:val="331AB307"/>
    <w:rsid w:val="380971E5"/>
    <w:rsid w:val="3EDA6839"/>
    <w:rsid w:val="4CDA2B8E"/>
    <w:rsid w:val="4F483D97"/>
    <w:rsid w:val="4F7A212D"/>
    <w:rsid w:val="55693A88"/>
    <w:rsid w:val="632A43CF"/>
    <w:rsid w:val="650F9D85"/>
    <w:rsid w:val="660EBD00"/>
    <w:rsid w:val="6653415C"/>
    <w:rsid w:val="666B80D9"/>
    <w:rsid w:val="6793742E"/>
    <w:rsid w:val="6C6146FF"/>
    <w:rsid w:val="6C706593"/>
    <w:rsid w:val="725462AE"/>
    <w:rsid w:val="7549E97D"/>
    <w:rsid w:val="7C8C712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02F1AF"/>
  <w15:chartTrackingRefBased/>
  <w15:docId w15:val="{37D77E33-E107-4146-ABCA-2AF070255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3"/>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4"/>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E8B"/>
  </w:style>
  <w:style w:type="paragraph" w:styleId="Heading1">
    <w:name w:val="heading 1"/>
    <w:basedOn w:val="Normal"/>
    <w:next w:val="Normal"/>
    <w:link w:val="Heading1Char"/>
    <w:uiPriority w:val="9"/>
    <w:qFormat/>
    <w:rsid w:val="00AB0C4A"/>
    <w:pPr>
      <w:keepNext/>
      <w:keepLines/>
      <w:pageBreakBefore/>
      <w:spacing w:after="240" w:line="204" w:lineRule="auto"/>
      <w:outlineLvl w:val="0"/>
    </w:pPr>
    <w:rPr>
      <w:rFonts w:asciiTheme="majorHAnsi" w:eastAsiaTheme="majorEastAsia" w:hAnsiTheme="majorHAnsi" w:cstheme="majorBidi"/>
      <w:color w:val="172242" w:themeColor="accent1"/>
      <w:sz w:val="56"/>
      <w:szCs w:val="32"/>
    </w:rPr>
  </w:style>
  <w:style w:type="paragraph" w:styleId="Heading2">
    <w:name w:val="heading 2"/>
    <w:basedOn w:val="Normal"/>
    <w:next w:val="Normal"/>
    <w:link w:val="Heading2Char"/>
    <w:uiPriority w:val="9"/>
    <w:qFormat/>
    <w:rsid w:val="005421D2"/>
    <w:pPr>
      <w:spacing w:before="240" w:after="360" w:line="216" w:lineRule="auto"/>
      <w:outlineLvl w:val="1"/>
    </w:pPr>
    <w:rPr>
      <w:caps/>
      <w:color w:val="27B88C" w:themeColor="accent2"/>
      <w:sz w:val="28"/>
      <w:szCs w:val="28"/>
    </w:rPr>
  </w:style>
  <w:style w:type="paragraph" w:styleId="Heading3">
    <w:name w:val="heading 3"/>
    <w:basedOn w:val="Normal"/>
    <w:next w:val="Normal"/>
    <w:link w:val="Heading3Char"/>
    <w:uiPriority w:val="9"/>
    <w:qFormat/>
    <w:rsid w:val="006706A3"/>
    <w:pPr>
      <w:keepNext/>
      <w:keepLines/>
      <w:spacing w:before="240" w:after="40"/>
      <w:outlineLvl w:val="2"/>
    </w:pPr>
    <w:rPr>
      <w:rFonts w:asciiTheme="majorHAnsi" w:eastAsiaTheme="majorEastAsia" w:hAnsiTheme="majorHAnsi" w:cstheme="majorBidi"/>
      <w:b/>
      <w:bCs/>
      <w:noProof/>
      <w:color w:val="172242" w:themeColor="accent1"/>
      <w:sz w:val="28"/>
      <w:szCs w:val="28"/>
    </w:rPr>
  </w:style>
  <w:style w:type="paragraph" w:styleId="Heading4">
    <w:name w:val="heading 4"/>
    <w:basedOn w:val="Normal"/>
    <w:next w:val="Normal"/>
    <w:link w:val="Heading4Char"/>
    <w:uiPriority w:val="9"/>
    <w:qFormat/>
    <w:rsid w:val="00FF1C48"/>
    <w:pPr>
      <w:keepNext/>
      <w:keepLines/>
      <w:spacing w:before="160" w:after="40"/>
      <w:outlineLvl w:val="3"/>
    </w:pPr>
    <w:rPr>
      <w:rFonts w:asciiTheme="majorHAnsi" w:eastAsiaTheme="majorEastAsia" w:hAnsiTheme="majorHAnsi" w:cstheme="majorBidi"/>
      <w:b/>
      <w:bCs/>
      <w:noProof/>
      <w:color w:val="27B88C" w:themeColor="accent2"/>
      <w:sz w:val="24"/>
      <w:szCs w:val="24"/>
    </w:rPr>
  </w:style>
  <w:style w:type="paragraph" w:styleId="Heading5">
    <w:name w:val="heading 5"/>
    <w:basedOn w:val="Normal"/>
    <w:next w:val="Normal"/>
    <w:link w:val="Heading5Char"/>
    <w:uiPriority w:val="9"/>
    <w:qFormat/>
    <w:rsid w:val="004D0A0C"/>
    <w:pPr>
      <w:keepNext/>
      <w:keepLines/>
      <w:spacing w:before="160" w:after="40"/>
      <w:outlineLvl w:val="4"/>
    </w:pPr>
    <w:rPr>
      <w:rFonts w:asciiTheme="majorHAnsi" w:eastAsiaTheme="majorEastAsia" w:hAnsiTheme="majorHAnsi" w:cstheme="majorBidi"/>
      <w:color w:val="172242" w:themeColor="accen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1CFB"/>
    <w:pPr>
      <w:tabs>
        <w:tab w:val="center" w:pos="4513"/>
        <w:tab w:val="right" w:pos="9026"/>
      </w:tabs>
      <w:spacing w:after="0"/>
    </w:pPr>
  </w:style>
  <w:style w:type="character" w:customStyle="1" w:styleId="HeaderChar">
    <w:name w:val="Header Char"/>
    <w:basedOn w:val="DefaultParagraphFont"/>
    <w:link w:val="Header"/>
    <w:uiPriority w:val="99"/>
    <w:rsid w:val="00931CFB"/>
  </w:style>
  <w:style w:type="paragraph" w:styleId="Footer">
    <w:name w:val="footer"/>
    <w:basedOn w:val="Normal"/>
    <w:link w:val="FooterChar"/>
    <w:uiPriority w:val="99"/>
    <w:unhideWhenUsed/>
    <w:rsid w:val="00C76BDE"/>
    <w:pPr>
      <w:tabs>
        <w:tab w:val="center" w:pos="4513"/>
        <w:tab w:val="right" w:pos="9026"/>
      </w:tabs>
      <w:spacing w:after="0"/>
    </w:pPr>
    <w:rPr>
      <w:color w:val="172242" w:themeColor="accent1"/>
      <w:sz w:val="24"/>
    </w:rPr>
  </w:style>
  <w:style w:type="character" w:customStyle="1" w:styleId="FooterChar">
    <w:name w:val="Footer Char"/>
    <w:basedOn w:val="DefaultParagraphFont"/>
    <w:link w:val="Footer"/>
    <w:uiPriority w:val="99"/>
    <w:rsid w:val="00C76BDE"/>
    <w:rPr>
      <w:color w:val="172242" w:themeColor="accent1"/>
      <w:sz w:val="24"/>
    </w:rPr>
  </w:style>
  <w:style w:type="character" w:customStyle="1" w:styleId="Heading1Char">
    <w:name w:val="Heading 1 Char"/>
    <w:basedOn w:val="DefaultParagraphFont"/>
    <w:link w:val="Heading1"/>
    <w:uiPriority w:val="9"/>
    <w:rsid w:val="00AB0C4A"/>
    <w:rPr>
      <w:rFonts w:asciiTheme="majorHAnsi" w:eastAsiaTheme="majorEastAsia" w:hAnsiTheme="majorHAnsi" w:cstheme="majorBidi"/>
      <w:color w:val="172242" w:themeColor="accent1"/>
      <w:sz w:val="56"/>
      <w:szCs w:val="32"/>
    </w:rPr>
  </w:style>
  <w:style w:type="character" w:customStyle="1" w:styleId="Heading2Char">
    <w:name w:val="Heading 2 Char"/>
    <w:basedOn w:val="DefaultParagraphFont"/>
    <w:link w:val="Heading2"/>
    <w:uiPriority w:val="9"/>
    <w:rsid w:val="005421D2"/>
    <w:rPr>
      <w:caps/>
      <w:color w:val="27B88C" w:themeColor="accent2"/>
      <w:sz w:val="28"/>
      <w:szCs w:val="28"/>
    </w:rPr>
  </w:style>
  <w:style w:type="character" w:customStyle="1" w:styleId="Heading3Char">
    <w:name w:val="Heading 3 Char"/>
    <w:basedOn w:val="DefaultParagraphFont"/>
    <w:link w:val="Heading3"/>
    <w:uiPriority w:val="9"/>
    <w:rsid w:val="00C0364E"/>
    <w:rPr>
      <w:rFonts w:asciiTheme="majorHAnsi" w:eastAsiaTheme="majorEastAsia" w:hAnsiTheme="majorHAnsi" w:cstheme="majorBidi"/>
      <w:b/>
      <w:bCs/>
      <w:noProof/>
      <w:color w:val="172242" w:themeColor="accent1"/>
      <w:sz w:val="28"/>
      <w:szCs w:val="28"/>
    </w:rPr>
  </w:style>
  <w:style w:type="character" w:customStyle="1" w:styleId="Heading4Char">
    <w:name w:val="Heading 4 Char"/>
    <w:basedOn w:val="DefaultParagraphFont"/>
    <w:link w:val="Heading4"/>
    <w:uiPriority w:val="9"/>
    <w:rsid w:val="00C0364E"/>
    <w:rPr>
      <w:rFonts w:asciiTheme="majorHAnsi" w:eastAsiaTheme="majorEastAsia" w:hAnsiTheme="majorHAnsi" w:cstheme="majorBidi"/>
      <w:b/>
      <w:bCs/>
      <w:noProof/>
      <w:color w:val="27B88C" w:themeColor="accent2"/>
      <w:sz w:val="24"/>
      <w:szCs w:val="24"/>
    </w:rPr>
  </w:style>
  <w:style w:type="paragraph" w:styleId="BodyText">
    <w:name w:val="Body Text"/>
    <w:basedOn w:val="Normal"/>
    <w:link w:val="BodyTextChar"/>
    <w:rsid w:val="00FF1C48"/>
  </w:style>
  <w:style w:type="character" w:customStyle="1" w:styleId="BodyTextChar">
    <w:name w:val="Body Text Char"/>
    <w:basedOn w:val="DefaultParagraphFont"/>
    <w:link w:val="BodyText"/>
    <w:rsid w:val="00FF1C48"/>
  </w:style>
  <w:style w:type="paragraph" w:customStyle="1" w:styleId="Introduction">
    <w:name w:val="Introduction"/>
    <w:basedOn w:val="Normal"/>
    <w:next w:val="Normal"/>
    <w:uiPriority w:val="2"/>
    <w:qFormat/>
    <w:rsid w:val="007143C5"/>
    <w:pPr>
      <w:spacing w:after="240"/>
    </w:pPr>
    <w:rPr>
      <w:color w:val="172242" w:themeColor="accent1"/>
      <w:sz w:val="28"/>
      <w:szCs w:val="28"/>
    </w:rPr>
  </w:style>
  <w:style w:type="paragraph" w:styleId="ListParagraph">
    <w:name w:val="List Paragraph"/>
    <w:basedOn w:val="Normal"/>
    <w:uiPriority w:val="34"/>
    <w:qFormat/>
    <w:rsid w:val="00E77816"/>
    <w:pPr>
      <w:ind w:left="284"/>
      <w:contextualSpacing/>
    </w:pPr>
  </w:style>
  <w:style w:type="numbering" w:customStyle="1" w:styleId="default">
    <w:name w:val="default"/>
    <w:uiPriority w:val="99"/>
    <w:rsid w:val="007143C5"/>
    <w:pPr>
      <w:numPr>
        <w:numId w:val="3"/>
      </w:numPr>
    </w:pPr>
  </w:style>
  <w:style w:type="paragraph" w:customStyle="1" w:styleId="Bullet1">
    <w:name w:val="Bullet 1"/>
    <w:basedOn w:val="Normal"/>
    <w:uiPriority w:val="1"/>
    <w:qFormat/>
    <w:rsid w:val="007143C5"/>
    <w:pPr>
      <w:ind w:left="284" w:hanging="284"/>
    </w:pPr>
  </w:style>
  <w:style w:type="paragraph" w:customStyle="1" w:styleId="Bullet2">
    <w:name w:val="Bullet 2"/>
    <w:basedOn w:val="Normal"/>
    <w:uiPriority w:val="1"/>
    <w:qFormat/>
    <w:rsid w:val="007143C5"/>
    <w:pPr>
      <w:ind w:left="568" w:hanging="284"/>
    </w:pPr>
  </w:style>
  <w:style w:type="paragraph" w:customStyle="1" w:styleId="Bullet3">
    <w:name w:val="Bullet 3"/>
    <w:basedOn w:val="Normal"/>
    <w:uiPriority w:val="1"/>
    <w:qFormat/>
    <w:rsid w:val="007143C5"/>
    <w:pPr>
      <w:ind w:left="852" w:hanging="284"/>
    </w:pPr>
  </w:style>
  <w:style w:type="numbering" w:customStyle="1" w:styleId="Bullets">
    <w:name w:val="Bullets"/>
    <w:uiPriority w:val="99"/>
    <w:rsid w:val="007143C5"/>
    <w:pPr>
      <w:numPr>
        <w:numId w:val="7"/>
      </w:numPr>
    </w:pPr>
  </w:style>
  <w:style w:type="character" w:customStyle="1" w:styleId="Green">
    <w:name w:val="Green"/>
    <w:basedOn w:val="DefaultParagraphFont"/>
    <w:uiPriority w:val="12"/>
    <w:qFormat/>
    <w:rsid w:val="00C76BDE"/>
    <w:rPr>
      <w:color w:val="27B88C" w:themeColor="accent2"/>
    </w:rPr>
  </w:style>
  <w:style w:type="table" w:styleId="TableGrid">
    <w:name w:val="Table Grid"/>
    <w:basedOn w:val="TableNormal"/>
    <w:rsid w:val="00C76BD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76BDE"/>
    <w:pPr>
      <w:spacing w:after="0"/>
    </w:pPr>
  </w:style>
  <w:style w:type="paragraph" w:customStyle="1" w:styleId="NumberBullet1">
    <w:name w:val="Number Bullet 1"/>
    <w:basedOn w:val="Normal"/>
    <w:uiPriority w:val="1"/>
    <w:qFormat/>
    <w:rsid w:val="0035180B"/>
    <w:pPr>
      <w:numPr>
        <w:numId w:val="9"/>
      </w:numPr>
    </w:pPr>
  </w:style>
  <w:style w:type="paragraph" w:customStyle="1" w:styleId="NumberBullet2">
    <w:name w:val="Number Bullet 2"/>
    <w:basedOn w:val="Normal"/>
    <w:uiPriority w:val="1"/>
    <w:qFormat/>
    <w:rsid w:val="0035180B"/>
    <w:pPr>
      <w:numPr>
        <w:ilvl w:val="1"/>
        <w:numId w:val="9"/>
      </w:numPr>
    </w:pPr>
  </w:style>
  <w:style w:type="numbering" w:customStyle="1" w:styleId="Numberbullets">
    <w:name w:val="Number bullets"/>
    <w:uiPriority w:val="99"/>
    <w:rsid w:val="0035180B"/>
    <w:pPr>
      <w:numPr>
        <w:numId w:val="9"/>
      </w:numPr>
    </w:pPr>
  </w:style>
  <w:style w:type="paragraph" w:customStyle="1" w:styleId="NumberedHeading3">
    <w:name w:val="Numbered Heading 3"/>
    <w:basedOn w:val="Heading3"/>
    <w:uiPriority w:val="9"/>
    <w:qFormat/>
    <w:rsid w:val="005A0660"/>
    <w:pPr>
      <w:numPr>
        <w:numId w:val="13"/>
      </w:numPr>
    </w:pPr>
  </w:style>
  <w:style w:type="paragraph" w:customStyle="1" w:styleId="NumberedBodyText">
    <w:name w:val="Numbered Body Text"/>
    <w:basedOn w:val="Normal"/>
    <w:uiPriority w:val="10"/>
    <w:qFormat/>
    <w:rsid w:val="005A0660"/>
    <w:pPr>
      <w:numPr>
        <w:ilvl w:val="1"/>
        <w:numId w:val="13"/>
      </w:numPr>
    </w:pPr>
  </w:style>
  <w:style w:type="numbering" w:customStyle="1" w:styleId="NumberedHeadings">
    <w:name w:val="Numbered Headings"/>
    <w:uiPriority w:val="99"/>
    <w:rsid w:val="005A0660"/>
    <w:pPr>
      <w:numPr>
        <w:numId w:val="11"/>
      </w:numPr>
    </w:pPr>
  </w:style>
  <w:style w:type="paragraph" w:styleId="Title">
    <w:name w:val="Title"/>
    <w:basedOn w:val="Normal"/>
    <w:next w:val="Subtitle"/>
    <w:link w:val="TitleChar"/>
    <w:uiPriority w:val="13"/>
    <w:rsid w:val="002D68E4"/>
    <w:pPr>
      <w:spacing w:before="720" w:after="1200" w:line="216" w:lineRule="auto"/>
      <w:ind w:right="1418"/>
      <w:contextualSpacing/>
    </w:pPr>
    <w:rPr>
      <w:rFonts w:asciiTheme="majorHAnsi" w:eastAsiaTheme="majorEastAsia" w:hAnsiTheme="majorHAnsi" w:cstheme="majorBidi"/>
      <w:caps/>
      <w:color w:val="172242" w:themeColor="accent1"/>
      <w:spacing w:val="-10"/>
      <w:kern w:val="28"/>
      <w:sz w:val="84"/>
      <w:szCs w:val="84"/>
    </w:rPr>
  </w:style>
  <w:style w:type="character" w:customStyle="1" w:styleId="TitleChar">
    <w:name w:val="Title Char"/>
    <w:basedOn w:val="DefaultParagraphFont"/>
    <w:link w:val="Title"/>
    <w:uiPriority w:val="13"/>
    <w:rsid w:val="002D68E4"/>
    <w:rPr>
      <w:rFonts w:asciiTheme="majorHAnsi" w:eastAsiaTheme="majorEastAsia" w:hAnsiTheme="majorHAnsi" w:cstheme="majorBidi"/>
      <w:caps/>
      <w:color w:val="172242" w:themeColor="accent1"/>
      <w:spacing w:val="-10"/>
      <w:kern w:val="28"/>
      <w:sz w:val="84"/>
      <w:szCs w:val="84"/>
    </w:rPr>
  </w:style>
  <w:style w:type="paragraph" w:styleId="Subtitle">
    <w:name w:val="Subtitle"/>
    <w:basedOn w:val="Normal"/>
    <w:next w:val="Normal"/>
    <w:link w:val="SubtitleChar"/>
    <w:uiPriority w:val="14"/>
    <w:rsid w:val="004E1DBF"/>
    <w:pPr>
      <w:numPr>
        <w:ilvl w:val="1"/>
      </w:numPr>
      <w:spacing w:after="480"/>
    </w:pPr>
    <w:rPr>
      <w:rFonts w:eastAsiaTheme="minorEastAsia"/>
      <w:color w:val="27B88C" w:themeColor="accent2"/>
      <w:spacing w:val="15"/>
      <w:sz w:val="40"/>
      <w:szCs w:val="40"/>
    </w:rPr>
  </w:style>
  <w:style w:type="character" w:customStyle="1" w:styleId="SubtitleChar">
    <w:name w:val="Subtitle Char"/>
    <w:basedOn w:val="DefaultParagraphFont"/>
    <w:link w:val="Subtitle"/>
    <w:uiPriority w:val="14"/>
    <w:rsid w:val="004E1DBF"/>
    <w:rPr>
      <w:rFonts w:eastAsiaTheme="minorEastAsia"/>
      <w:color w:val="27B88C" w:themeColor="accent2"/>
      <w:spacing w:val="15"/>
      <w:sz w:val="40"/>
      <w:szCs w:val="40"/>
    </w:rPr>
  </w:style>
  <w:style w:type="paragraph" w:styleId="Date">
    <w:name w:val="Date"/>
    <w:basedOn w:val="Normal"/>
    <w:next w:val="Normal"/>
    <w:link w:val="DateChar"/>
    <w:uiPriority w:val="99"/>
    <w:rsid w:val="002D68E4"/>
    <w:pPr>
      <w:spacing w:after="0"/>
    </w:pPr>
    <w:rPr>
      <w:color w:val="172242" w:themeColor="accent1"/>
      <w:sz w:val="28"/>
      <w:szCs w:val="28"/>
    </w:rPr>
  </w:style>
  <w:style w:type="character" w:customStyle="1" w:styleId="DateChar">
    <w:name w:val="Date Char"/>
    <w:basedOn w:val="DefaultParagraphFont"/>
    <w:link w:val="Date"/>
    <w:uiPriority w:val="99"/>
    <w:rsid w:val="002D68E4"/>
    <w:rPr>
      <w:color w:val="172242" w:themeColor="accent1"/>
      <w:sz w:val="28"/>
      <w:szCs w:val="28"/>
    </w:rPr>
  </w:style>
  <w:style w:type="character" w:customStyle="1" w:styleId="White">
    <w:name w:val="White"/>
    <w:basedOn w:val="DefaultParagraphFont"/>
    <w:uiPriority w:val="12"/>
    <w:qFormat/>
    <w:rsid w:val="00AD52A1"/>
    <w:rPr>
      <w:color w:val="FFFFFF" w:themeColor="background1"/>
    </w:rPr>
  </w:style>
  <w:style w:type="table" w:customStyle="1" w:styleId="IATable">
    <w:name w:val="IA Table"/>
    <w:basedOn w:val="TableNormal"/>
    <w:uiPriority w:val="99"/>
    <w:rsid w:val="00675B49"/>
    <w:pPr>
      <w:spacing w:before="60" w:after="60"/>
    </w:pPr>
    <w:tblPr>
      <w:tblBorders>
        <w:bottom w:val="single" w:sz="8" w:space="0" w:color="172242" w:themeColor="accent1"/>
        <w:insideH w:val="dotted" w:sz="4" w:space="0" w:color="27B88C" w:themeColor="accent2"/>
      </w:tblBorders>
      <w:tblCellMar>
        <w:top w:w="28" w:type="dxa"/>
        <w:left w:w="85" w:type="dxa"/>
        <w:bottom w:w="28" w:type="dxa"/>
        <w:right w:w="85" w:type="dxa"/>
      </w:tblCellMar>
    </w:tblPr>
    <w:tblStylePr w:type="firstRow">
      <w:rPr>
        <w:b/>
        <w:i w:val="0"/>
        <w:color w:val="172242" w:themeColor="accent1"/>
      </w:rPr>
      <w:tblPr/>
      <w:trPr>
        <w:tblHeader/>
      </w:trPr>
      <w:tcPr>
        <w:tcBorders>
          <w:top w:val="nil"/>
          <w:left w:val="nil"/>
          <w:bottom w:val="single" w:sz="8" w:space="0" w:color="27B88C" w:themeColor="accent2"/>
          <w:right w:val="nil"/>
          <w:insideH w:val="nil"/>
          <w:insideV w:val="nil"/>
          <w:tl2br w:val="nil"/>
          <w:tr2bl w:val="nil"/>
        </w:tcBorders>
      </w:tcPr>
    </w:tblStylePr>
    <w:tblStylePr w:type="lastRow">
      <w:rPr>
        <w:b/>
        <w:i w:val="0"/>
        <w:color w:val="172242" w:themeColor="accent1"/>
      </w:rPr>
      <w:tblPr/>
      <w:tcPr>
        <w:tcBorders>
          <w:top w:val="nil"/>
          <w:left w:val="nil"/>
          <w:bottom w:val="single" w:sz="8" w:space="0" w:color="172242" w:themeColor="accent1"/>
          <w:right w:val="nil"/>
          <w:insideH w:val="nil"/>
          <w:insideV w:val="nil"/>
          <w:tl2br w:val="nil"/>
          <w:tr2bl w:val="nil"/>
        </w:tcBorders>
        <w:shd w:val="clear" w:color="auto" w:fill="CFF5E9" w:themeFill="accent2" w:themeFillTint="33"/>
      </w:tcPr>
    </w:tblStylePr>
  </w:style>
  <w:style w:type="character" w:customStyle="1" w:styleId="Heading5Char">
    <w:name w:val="Heading 5 Char"/>
    <w:basedOn w:val="DefaultParagraphFont"/>
    <w:link w:val="Heading5"/>
    <w:uiPriority w:val="9"/>
    <w:rsid w:val="004D0A0C"/>
    <w:rPr>
      <w:rFonts w:asciiTheme="majorHAnsi" w:eastAsiaTheme="majorEastAsia" w:hAnsiTheme="majorHAnsi" w:cstheme="majorBidi"/>
      <w:color w:val="172242" w:themeColor="accent1"/>
      <w:sz w:val="24"/>
    </w:rPr>
  </w:style>
  <w:style w:type="paragraph" w:styleId="TOC1">
    <w:name w:val="toc 1"/>
    <w:basedOn w:val="Normal"/>
    <w:next w:val="Normal"/>
    <w:autoRedefine/>
    <w:uiPriority w:val="39"/>
    <w:unhideWhenUsed/>
    <w:rsid w:val="00231B2E"/>
    <w:pPr>
      <w:pBdr>
        <w:bottom w:val="dotted" w:sz="8" w:space="4" w:color="172242" w:themeColor="accent1"/>
        <w:between w:val="dotted" w:sz="8" w:space="1" w:color="172242" w:themeColor="accent1"/>
      </w:pBdr>
      <w:tabs>
        <w:tab w:val="right" w:pos="8051"/>
      </w:tabs>
      <w:spacing w:before="240" w:after="80"/>
      <w:ind w:left="680" w:right="1701" w:hanging="680"/>
    </w:pPr>
    <w:rPr>
      <w:noProof/>
      <w:sz w:val="24"/>
    </w:rPr>
  </w:style>
  <w:style w:type="paragraph" w:styleId="TOC2">
    <w:name w:val="toc 2"/>
    <w:basedOn w:val="Normal"/>
    <w:next w:val="Normal"/>
    <w:autoRedefine/>
    <w:uiPriority w:val="39"/>
    <w:unhideWhenUsed/>
    <w:rsid w:val="0004558D"/>
    <w:pPr>
      <w:tabs>
        <w:tab w:val="right" w:pos="7938"/>
      </w:tabs>
      <w:spacing w:before="120"/>
      <w:ind w:left="680" w:right="1701"/>
    </w:pPr>
    <w:rPr>
      <w:sz w:val="24"/>
    </w:rPr>
  </w:style>
  <w:style w:type="paragraph" w:styleId="TOC3">
    <w:name w:val="toc 3"/>
    <w:basedOn w:val="Normal"/>
    <w:next w:val="Normal"/>
    <w:autoRedefine/>
    <w:uiPriority w:val="39"/>
    <w:unhideWhenUsed/>
    <w:rsid w:val="0004558D"/>
    <w:pPr>
      <w:tabs>
        <w:tab w:val="left" w:pos="1021"/>
        <w:tab w:val="right" w:pos="7938"/>
      </w:tabs>
      <w:spacing w:before="120"/>
      <w:ind w:left="680" w:right="1701"/>
    </w:pPr>
    <w:rPr>
      <w:sz w:val="24"/>
    </w:rPr>
  </w:style>
  <w:style w:type="character" w:styleId="Hyperlink">
    <w:name w:val="Hyperlink"/>
    <w:basedOn w:val="DefaultParagraphFont"/>
    <w:uiPriority w:val="99"/>
    <w:unhideWhenUsed/>
    <w:rsid w:val="00640705"/>
    <w:rPr>
      <w:color w:val="F36A5B" w:themeColor="hyperlink"/>
      <w:u w:val="single"/>
    </w:rPr>
  </w:style>
  <w:style w:type="paragraph" w:styleId="TOCHeading">
    <w:name w:val="TOC Heading"/>
    <w:basedOn w:val="Heading1"/>
    <w:next w:val="Normal"/>
    <w:uiPriority w:val="39"/>
    <w:unhideWhenUsed/>
    <w:rsid w:val="00640705"/>
    <w:pPr>
      <w:outlineLvl w:val="9"/>
    </w:pPr>
  </w:style>
  <w:style w:type="numbering" w:customStyle="1" w:styleId="TocNumber">
    <w:name w:val="Toc Number"/>
    <w:uiPriority w:val="99"/>
    <w:rsid w:val="003D0B56"/>
    <w:pPr>
      <w:numPr>
        <w:numId w:val="30"/>
      </w:numPr>
    </w:pPr>
  </w:style>
  <w:style w:type="character" w:styleId="UnresolvedMention">
    <w:name w:val="Unresolved Mention"/>
    <w:basedOn w:val="DefaultParagraphFont"/>
    <w:uiPriority w:val="99"/>
    <w:semiHidden/>
    <w:unhideWhenUsed/>
    <w:rsid w:val="00D338E8"/>
    <w:rPr>
      <w:color w:val="605E5C"/>
      <w:shd w:val="clear" w:color="auto" w:fill="E1DFDD"/>
    </w:rPr>
  </w:style>
  <w:style w:type="paragraph" w:customStyle="1" w:styleId="Backpagetitle">
    <w:name w:val="Back page title"/>
    <w:basedOn w:val="Heading3"/>
    <w:uiPriority w:val="15"/>
    <w:rsid w:val="0058608E"/>
    <w:pPr>
      <w:spacing w:after="80"/>
      <w:outlineLvl w:val="9"/>
    </w:pPr>
  </w:style>
  <w:style w:type="paragraph" w:customStyle="1" w:styleId="Backpageaddress">
    <w:name w:val="Back page address"/>
    <w:basedOn w:val="Normal"/>
    <w:uiPriority w:val="15"/>
    <w:rsid w:val="0058608E"/>
    <w:pPr>
      <w:spacing w:after="240"/>
      <w:contextualSpacing/>
    </w:pPr>
    <w:rPr>
      <w:sz w:val="20"/>
    </w:rPr>
  </w:style>
  <w:style w:type="paragraph" w:customStyle="1" w:styleId="Backpagedisclaimer">
    <w:name w:val="Back page disclaimer"/>
    <w:basedOn w:val="Normal"/>
    <w:uiPriority w:val="15"/>
    <w:rsid w:val="0058608E"/>
    <w:pPr>
      <w:spacing w:after="40"/>
    </w:pPr>
    <w:rPr>
      <w:sz w:val="16"/>
      <w:szCs w:val="16"/>
    </w:rPr>
  </w:style>
  <w:style w:type="paragraph" w:customStyle="1" w:styleId="Backpagecontact">
    <w:name w:val="Back page contact"/>
    <w:basedOn w:val="Backpageaddress"/>
    <w:uiPriority w:val="15"/>
    <w:rsid w:val="0058608E"/>
    <w:pPr>
      <w:spacing w:before="120" w:after="40"/>
      <w:contextualSpacing w:val="0"/>
      <w:jc w:val="right"/>
    </w:pPr>
  </w:style>
  <w:style w:type="character" w:customStyle="1" w:styleId="Whitecharacterstyle">
    <w:name w:val="_White character style"/>
    <w:basedOn w:val="DefaultParagraphFont"/>
    <w:uiPriority w:val="1"/>
    <w:qFormat/>
    <w:rsid w:val="00C027C4"/>
    <w:rPr>
      <w:color w:val="FFFFFF" w:themeColor="background1"/>
    </w:rPr>
  </w:style>
  <w:style w:type="character" w:customStyle="1" w:styleId="Bluebold">
    <w:name w:val="Blue bold"/>
    <w:basedOn w:val="DefaultParagraphFont"/>
    <w:uiPriority w:val="1"/>
    <w:qFormat/>
    <w:rsid w:val="00AA2253"/>
    <w:rPr>
      <w:b/>
      <w:bCs/>
      <w:color w:val="172242" w:themeColor="accent1"/>
    </w:rPr>
  </w:style>
  <w:style w:type="paragraph" w:customStyle="1" w:styleId="contentpasted4">
    <w:name w:val="contentpasted4"/>
    <w:basedOn w:val="Normal"/>
    <w:rsid w:val="0013623F"/>
    <w:pPr>
      <w:spacing w:before="100" w:beforeAutospacing="1" w:after="100" w:afterAutospacing="1"/>
    </w:pPr>
    <w:rPr>
      <w:rFonts w:ascii="Calibri" w:hAnsi="Calibri" w:cs="Calibri"/>
      <w:lang w:eastAsia="en-GB"/>
    </w:rPr>
  </w:style>
  <w:style w:type="character" w:styleId="FollowedHyperlink">
    <w:name w:val="FollowedHyperlink"/>
    <w:basedOn w:val="DefaultParagraphFont"/>
    <w:uiPriority w:val="99"/>
    <w:semiHidden/>
    <w:unhideWhenUsed/>
    <w:rsid w:val="0076014E"/>
    <w:rPr>
      <w:color w:val="F36A5B" w:themeColor="followedHyperlink"/>
      <w:u w:val="single"/>
    </w:rPr>
  </w:style>
  <w:style w:type="paragraph" w:customStyle="1" w:styleId="footnotedescription">
    <w:name w:val="footnote description"/>
    <w:next w:val="Normal"/>
    <w:link w:val="footnotedescriptionChar"/>
    <w:hidden/>
    <w:rsid w:val="00F44201"/>
    <w:pPr>
      <w:spacing w:after="0" w:line="253" w:lineRule="auto"/>
    </w:pPr>
    <w:rPr>
      <w:rFonts w:ascii="Calibri" w:eastAsia="Calibri" w:hAnsi="Calibri" w:cs="Calibri"/>
      <w:color w:val="000000"/>
      <w:kern w:val="2"/>
      <w:sz w:val="20"/>
      <w:lang w:eastAsia="en-GB"/>
      <w14:ligatures w14:val="standardContextual"/>
    </w:rPr>
  </w:style>
  <w:style w:type="character" w:customStyle="1" w:styleId="footnotedescriptionChar">
    <w:name w:val="footnote description Char"/>
    <w:link w:val="footnotedescription"/>
    <w:rsid w:val="00F44201"/>
    <w:rPr>
      <w:rFonts w:ascii="Calibri" w:eastAsia="Calibri" w:hAnsi="Calibri" w:cs="Calibri"/>
      <w:color w:val="000000"/>
      <w:kern w:val="2"/>
      <w:sz w:val="20"/>
      <w:lang w:eastAsia="en-GB"/>
      <w14:ligatures w14:val="standardContextual"/>
    </w:rPr>
  </w:style>
  <w:style w:type="character" w:customStyle="1" w:styleId="footnotemark">
    <w:name w:val="footnote mark"/>
    <w:hidden/>
    <w:rsid w:val="00F44201"/>
    <w:rPr>
      <w:rFonts w:ascii="Calibri" w:eastAsia="Calibri" w:hAnsi="Calibri" w:cs="Calibri"/>
      <w:color w:val="000000"/>
      <w:sz w:val="20"/>
      <w:vertAlign w:val="superscript"/>
    </w:rPr>
  </w:style>
  <w:style w:type="character" w:styleId="CommentReference">
    <w:name w:val="annotation reference"/>
    <w:basedOn w:val="DefaultParagraphFont"/>
    <w:uiPriority w:val="99"/>
    <w:semiHidden/>
    <w:unhideWhenUsed/>
    <w:rsid w:val="000E1110"/>
    <w:rPr>
      <w:sz w:val="16"/>
      <w:szCs w:val="16"/>
    </w:rPr>
  </w:style>
  <w:style w:type="paragraph" w:styleId="CommentText">
    <w:name w:val="annotation text"/>
    <w:basedOn w:val="Normal"/>
    <w:link w:val="CommentTextChar"/>
    <w:uiPriority w:val="99"/>
    <w:unhideWhenUsed/>
    <w:rsid w:val="000E1110"/>
    <w:rPr>
      <w:sz w:val="20"/>
      <w:szCs w:val="20"/>
    </w:rPr>
  </w:style>
  <w:style w:type="character" w:customStyle="1" w:styleId="CommentTextChar">
    <w:name w:val="Comment Text Char"/>
    <w:basedOn w:val="DefaultParagraphFont"/>
    <w:link w:val="CommentText"/>
    <w:uiPriority w:val="99"/>
    <w:rsid w:val="000E1110"/>
    <w:rPr>
      <w:sz w:val="20"/>
      <w:szCs w:val="20"/>
    </w:rPr>
  </w:style>
  <w:style w:type="paragraph" w:styleId="CommentSubject">
    <w:name w:val="annotation subject"/>
    <w:basedOn w:val="CommentText"/>
    <w:next w:val="CommentText"/>
    <w:link w:val="CommentSubjectChar"/>
    <w:uiPriority w:val="99"/>
    <w:semiHidden/>
    <w:unhideWhenUsed/>
    <w:rsid w:val="000E1110"/>
    <w:rPr>
      <w:b/>
      <w:bCs/>
    </w:rPr>
  </w:style>
  <w:style w:type="character" w:customStyle="1" w:styleId="CommentSubjectChar">
    <w:name w:val="Comment Subject Char"/>
    <w:basedOn w:val="CommentTextChar"/>
    <w:link w:val="CommentSubject"/>
    <w:uiPriority w:val="99"/>
    <w:semiHidden/>
    <w:rsid w:val="000E1110"/>
    <w:rPr>
      <w:b/>
      <w:bCs/>
      <w:sz w:val="20"/>
      <w:szCs w:val="20"/>
    </w:rPr>
  </w:style>
  <w:style w:type="paragraph" w:styleId="FootnoteText">
    <w:name w:val="footnote text"/>
    <w:basedOn w:val="Normal"/>
    <w:link w:val="FootnoteTextChar"/>
    <w:uiPriority w:val="99"/>
    <w:semiHidden/>
    <w:unhideWhenUsed/>
    <w:rsid w:val="00B62165"/>
    <w:pPr>
      <w:spacing w:after="0"/>
    </w:pPr>
    <w:rPr>
      <w:sz w:val="20"/>
      <w:szCs w:val="20"/>
    </w:rPr>
  </w:style>
  <w:style w:type="character" w:customStyle="1" w:styleId="FootnoteTextChar">
    <w:name w:val="Footnote Text Char"/>
    <w:basedOn w:val="DefaultParagraphFont"/>
    <w:link w:val="FootnoteText"/>
    <w:uiPriority w:val="99"/>
    <w:semiHidden/>
    <w:rsid w:val="00B62165"/>
    <w:rPr>
      <w:sz w:val="20"/>
      <w:szCs w:val="20"/>
    </w:rPr>
  </w:style>
  <w:style w:type="character" w:styleId="FootnoteReference">
    <w:name w:val="footnote reference"/>
    <w:basedOn w:val="DefaultParagraphFont"/>
    <w:uiPriority w:val="99"/>
    <w:semiHidden/>
    <w:unhideWhenUsed/>
    <w:rsid w:val="00B62165"/>
    <w:rPr>
      <w:vertAlign w:val="superscript"/>
    </w:rPr>
  </w:style>
  <w:style w:type="paragraph" w:styleId="Revision">
    <w:name w:val="Revision"/>
    <w:hidden/>
    <w:uiPriority w:val="99"/>
    <w:semiHidden/>
    <w:rsid w:val="00304452"/>
    <w:pPr>
      <w:spacing w:after="0"/>
    </w:pPr>
  </w:style>
  <w:style w:type="paragraph" w:styleId="EndnoteText">
    <w:name w:val="endnote text"/>
    <w:basedOn w:val="Normal"/>
    <w:link w:val="EndnoteTextChar"/>
    <w:uiPriority w:val="99"/>
    <w:unhideWhenUsed/>
    <w:rsid w:val="00CE6C1F"/>
    <w:pPr>
      <w:spacing w:after="0"/>
    </w:pPr>
    <w:rPr>
      <w:kern w:val="2"/>
      <w:sz w:val="20"/>
      <w:szCs w:val="20"/>
      <w14:ligatures w14:val="standardContextual"/>
    </w:rPr>
  </w:style>
  <w:style w:type="character" w:customStyle="1" w:styleId="EndnoteTextChar">
    <w:name w:val="Endnote Text Char"/>
    <w:basedOn w:val="DefaultParagraphFont"/>
    <w:link w:val="EndnoteText"/>
    <w:uiPriority w:val="99"/>
    <w:rsid w:val="00CE6C1F"/>
    <w:rPr>
      <w:kern w:val="2"/>
      <w:sz w:val="20"/>
      <w:szCs w:val="20"/>
      <w14:ligatures w14:val="standardContextual"/>
    </w:rPr>
  </w:style>
  <w:style w:type="character" w:styleId="EndnoteReference">
    <w:name w:val="endnote reference"/>
    <w:basedOn w:val="DefaultParagraphFont"/>
    <w:uiPriority w:val="99"/>
    <w:semiHidden/>
    <w:unhideWhenUsed/>
    <w:rsid w:val="00CE6C1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17091">
      <w:bodyDiv w:val="1"/>
      <w:marLeft w:val="0"/>
      <w:marRight w:val="0"/>
      <w:marTop w:val="0"/>
      <w:marBottom w:val="0"/>
      <w:divBdr>
        <w:top w:val="none" w:sz="0" w:space="0" w:color="auto"/>
        <w:left w:val="none" w:sz="0" w:space="0" w:color="auto"/>
        <w:bottom w:val="none" w:sz="0" w:space="0" w:color="auto"/>
        <w:right w:val="none" w:sz="0" w:space="0" w:color="auto"/>
      </w:divBdr>
    </w:div>
    <w:div w:id="35399984">
      <w:bodyDiv w:val="1"/>
      <w:marLeft w:val="0"/>
      <w:marRight w:val="0"/>
      <w:marTop w:val="0"/>
      <w:marBottom w:val="0"/>
      <w:divBdr>
        <w:top w:val="none" w:sz="0" w:space="0" w:color="auto"/>
        <w:left w:val="none" w:sz="0" w:space="0" w:color="auto"/>
        <w:bottom w:val="none" w:sz="0" w:space="0" w:color="auto"/>
        <w:right w:val="none" w:sz="0" w:space="0" w:color="auto"/>
      </w:divBdr>
    </w:div>
    <w:div w:id="39986976">
      <w:bodyDiv w:val="1"/>
      <w:marLeft w:val="0"/>
      <w:marRight w:val="0"/>
      <w:marTop w:val="0"/>
      <w:marBottom w:val="0"/>
      <w:divBdr>
        <w:top w:val="none" w:sz="0" w:space="0" w:color="auto"/>
        <w:left w:val="none" w:sz="0" w:space="0" w:color="auto"/>
        <w:bottom w:val="none" w:sz="0" w:space="0" w:color="auto"/>
        <w:right w:val="none" w:sz="0" w:space="0" w:color="auto"/>
      </w:divBdr>
      <w:divsChild>
        <w:div w:id="36902378">
          <w:marLeft w:val="0"/>
          <w:marRight w:val="0"/>
          <w:marTop w:val="0"/>
          <w:marBottom w:val="0"/>
          <w:divBdr>
            <w:top w:val="none" w:sz="0" w:space="0" w:color="auto"/>
            <w:left w:val="none" w:sz="0" w:space="0" w:color="auto"/>
            <w:bottom w:val="none" w:sz="0" w:space="0" w:color="auto"/>
            <w:right w:val="none" w:sz="0" w:space="0" w:color="auto"/>
          </w:divBdr>
        </w:div>
        <w:div w:id="332147043">
          <w:marLeft w:val="0"/>
          <w:marRight w:val="0"/>
          <w:marTop w:val="0"/>
          <w:marBottom w:val="0"/>
          <w:divBdr>
            <w:top w:val="none" w:sz="0" w:space="0" w:color="auto"/>
            <w:left w:val="none" w:sz="0" w:space="0" w:color="auto"/>
            <w:bottom w:val="none" w:sz="0" w:space="0" w:color="auto"/>
            <w:right w:val="none" w:sz="0" w:space="0" w:color="auto"/>
          </w:divBdr>
        </w:div>
        <w:div w:id="933634459">
          <w:marLeft w:val="0"/>
          <w:marRight w:val="0"/>
          <w:marTop w:val="0"/>
          <w:marBottom w:val="0"/>
          <w:divBdr>
            <w:top w:val="none" w:sz="0" w:space="0" w:color="auto"/>
            <w:left w:val="none" w:sz="0" w:space="0" w:color="auto"/>
            <w:bottom w:val="none" w:sz="0" w:space="0" w:color="auto"/>
            <w:right w:val="none" w:sz="0" w:space="0" w:color="auto"/>
          </w:divBdr>
        </w:div>
        <w:div w:id="956448194">
          <w:marLeft w:val="0"/>
          <w:marRight w:val="0"/>
          <w:marTop w:val="0"/>
          <w:marBottom w:val="0"/>
          <w:divBdr>
            <w:top w:val="none" w:sz="0" w:space="0" w:color="auto"/>
            <w:left w:val="none" w:sz="0" w:space="0" w:color="auto"/>
            <w:bottom w:val="none" w:sz="0" w:space="0" w:color="auto"/>
            <w:right w:val="none" w:sz="0" w:space="0" w:color="auto"/>
          </w:divBdr>
        </w:div>
        <w:div w:id="1136147356">
          <w:marLeft w:val="0"/>
          <w:marRight w:val="0"/>
          <w:marTop w:val="0"/>
          <w:marBottom w:val="0"/>
          <w:divBdr>
            <w:top w:val="none" w:sz="0" w:space="0" w:color="auto"/>
            <w:left w:val="none" w:sz="0" w:space="0" w:color="auto"/>
            <w:bottom w:val="none" w:sz="0" w:space="0" w:color="auto"/>
            <w:right w:val="none" w:sz="0" w:space="0" w:color="auto"/>
          </w:divBdr>
        </w:div>
        <w:div w:id="1568027816">
          <w:marLeft w:val="0"/>
          <w:marRight w:val="0"/>
          <w:marTop w:val="0"/>
          <w:marBottom w:val="0"/>
          <w:divBdr>
            <w:top w:val="none" w:sz="0" w:space="0" w:color="auto"/>
            <w:left w:val="none" w:sz="0" w:space="0" w:color="auto"/>
            <w:bottom w:val="none" w:sz="0" w:space="0" w:color="auto"/>
            <w:right w:val="none" w:sz="0" w:space="0" w:color="auto"/>
          </w:divBdr>
        </w:div>
        <w:div w:id="1636180704">
          <w:marLeft w:val="0"/>
          <w:marRight w:val="0"/>
          <w:marTop w:val="0"/>
          <w:marBottom w:val="0"/>
          <w:divBdr>
            <w:top w:val="none" w:sz="0" w:space="0" w:color="auto"/>
            <w:left w:val="none" w:sz="0" w:space="0" w:color="auto"/>
            <w:bottom w:val="none" w:sz="0" w:space="0" w:color="auto"/>
            <w:right w:val="none" w:sz="0" w:space="0" w:color="auto"/>
          </w:divBdr>
        </w:div>
        <w:div w:id="1712919035">
          <w:marLeft w:val="0"/>
          <w:marRight w:val="0"/>
          <w:marTop w:val="0"/>
          <w:marBottom w:val="0"/>
          <w:divBdr>
            <w:top w:val="none" w:sz="0" w:space="0" w:color="auto"/>
            <w:left w:val="none" w:sz="0" w:space="0" w:color="auto"/>
            <w:bottom w:val="none" w:sz="0" w:space="0" w:color="auto"/>
            <w:right w:val="none" w:sz="0" w:space="0" w:color="auto"/>
          </w:divBdr>
        </w:div>
      </w:divsChild>
    </w:div>
    <w:div w:id="378281633">
      <w:bodyDiv w:val="1"/>
      <w:marLeft w:val="0"/>
      <w:marRight w:val="0"/>
      <w:marTop w:val="0"/>
      <w:marBottom w:val="0"/>
      <w:divBdr>
        <w:top w:val="none" w:sz="0" w:space="0" w:color="auto"/>
        <w:left w:val="none" w:sz="0" w:space="0" w:color="auto"/>
        <w:bottom w:val="none" w:sz="0" w:space="0" w:color="auto"/>
        <w:right w:val="none" w:sz="0" w:space="0" w:color="auto"/>
      </w:divBdr>
    </w:div>
    <w:div w:id="390545409">
      <w:bodyDiv w:val="1"/>
      <w:marLeft w:val="0"/>
      <w:marRight w:val="0"/>
      <w:marTop w:val="0"/>
      <w:marBottom w:val="0"/>
      <w:divBdr>
        <w:top w:val="none" w:sz="0" w:space="0" w:color="auto"/>
        <w:left w:val="none" w:sz="0" w:space="0" w:color="auto"/>
        <w:bottom w:val="none" w:sz="0" w:space="0" w:color="auto"/>
        <w:right w:val="none" w:sz="0" w:space="0" w:color="auto"/>
      </w:divBdr>
      <w:divsChild>
        <w:div w:id="295764780">
          <w:marLeft w:val="0"/>
          <w:marRight w:val="0"/>
          <w:marTop w:val="0"/>
          <w:marBottom w:val="0"/>
          <w:divBdr>
            <w:top w:val="none" w:sz="0" w:space="0" w:color="auto"/>
            <w:left w:val="none" w:sz="0" w:space="0" w:color="auto"/>
            <w:bottom w:val="none" w:sz="0" w:space="0" w:color="auto"/>
            <w:right w:val="none" w:sz="0" w:space="0" w:color="auto"/>
          </w:divBdr>
        </w:div>
        <w:div w:id="333532096">
          <w:marLeft w:val="0"/>
          <w:marRight w:val="0"/>
          <w:marTop w:val="0"/>
          <w:marBottom w:val="0"/>
          <w:divBdr>
            <w:top w:val="none" w:sz="0" w:space="0" w:color="auto"/>
            <w:left w:val="none" w:sz="0" w:space="0" w:color="auto"/>
            <w:bottom w:val="none" w:sz="0" w:space="0" w:color="auto"/>
            <w:right w:val="none" w:sz="0" w:space="0" w:color="auto"/>
          </w:divBdr>
        </w:div>
        <w:div w:id="424574972">
          <w:marLeft w:val="0"/>
          <w:marRight w:val="0"/>
          <w:marTop w:val="0"/>
          <w:marBottom w:val="0"/>
          <w:divBdr>
            <w:top w:val="none" w:sz="0" w:space="0" w:color="auto"/>
            <w:left w:val="none" w:sz="0" w:space="0" w:color="auto"/>
            <w:bottom w:val="none" w:sz="0" w:space="0" w:color="auto"/>
            <w:right w:val="none" w:sz="0" w:space="0" w:color="auto"/>
          </w:divBdr>
        </w:div>
        <w:div w:id="661392196">
          <w:marLeft w:val="0"/>
          <w:marRight w:val="0"/>
          <w:marTop w:val="0"/>
          <w:marBottom w:val="0"/>
          <w:divBdr>
            <w:top w:val="none" w:sz="0" w:space="0" w:color="auto"/>
            <w:left w:val="none" w:sz="0" w:space="0" w:color="auto"/>
            <w:bottom w:val="none" w:sz="0" w:space="0" w:color="auto"/>
            <w:right w:val="none" w:sz="0" w:space="0" w:color="auto"/>
          </w:divBdr>
        </w:div>
        <w:div w:id="1096093427">
          <w:marLeft w:val="0"/>
          <w:marRight w:val="0"/>
          <w:marTop w:val="0"/>
          <w:marBottom w:val="0"/>
          <w:divBdr>
            <w:top w:val="none" w:sz="0" w:space="0" w:color="auto"/>
            <w:left w:val="none" w:sz="0" w:space="0" w:color="auto"/>
            <w:bottom w:val="none" w:sz="0" w:space="0" w:color="auto"/>
            <w:right w:val="none" w:sz="0" w:space="0" w:color="auto"/>
          </w:divBdr>
        </w:div>
        <w:div w:id="1285384518">
          <w:marLeft w:val="0"/>
          <w:marRight w:val="0"/>
          <w:marTop w:val="0"/>
          <w:marBottom w:val="0"/>
          <w:divBdr>
            <w:top w:val="none" w:sz="0" w:space="0" w:color="auto"/>
            <w:left w:val="none" w:sz="0" w:space="0" w:color="auto"/>
            <w:bottom w:val="none" w:sz="0" w:space="0" w:color="auto"/>
            <w:right w:val="none" w:sz="0" w:space="0" w:color="auto"/>
          </w:divBdr>
        </w:div>
        <w:div w:id="1716351298">
          <w:marLeft w:val="0"/>
          <w:marRight w:val="0"/>
          <w:marTop w:val="0"/>
          <w:marBottom w:val="0"/>
          <w:divBdr>
            <w:top w:val="none" w:sz="0" w:space="0" w:color="auto"/>
            <w:left w:val="none" w:sz="0" w:space="0" w:color="auto"/>
            <w:bottom w:val="none" w:sz="0" w:space="0" w:color="auto"/>
            <w:right w:val="none" w:sz="0" w:space="0" w:color="auto"/>
          </w:divBdr>
        </w:div>
        <w:div w:id="2032948307">
          <w:marLeft w:val="0"/>
          <w:marRight w:val="0"/>
          <w:marTop w:val="0"/>
          <w:marBottom w:val="0"/>
          <w:divBdr>
            <w:top w:val="none" w:sz="0" w:space="0" w:color="auto"/>
            <w:left w:val="none" w:sz="0" w:space="0" w:color="auto"/>
            <w:bottom w:val="none" w:sz="0" w:space="0" w:color="auto"/>
            <w:right w:val="none" w:sz="0" w:space="0" w:color="auto"/>
          </w:divBdr>
        </w:div>
      </w:divsChild>
    </w:div>
    <w:div w:id="405612283">
      <w:bodyDiv w:val="1"/>
      <w:marLeft w:val="0"/>
      <w:marRight w:val="0"/>
      <w:marTop w:val="0"/>
      <w:marBottom w:val="0"/>
      <w:divBdr>
        <w:top w:val="none" w:sz="0" w:space="0" w:color="auto"/>
        <w:left w:val="none" w:sz="0" w:space="0" w:color="auto"/>
        <w:bottom w:val="none" w:sz="0" w:space="0" w:color="auto"/>
        <w:right w:val="none" w:sz="0" w:space="0" w:color="auto"/>
      </w:divBdr>
    </w:div>
    <w:div w:id="413935001">
      <w:bodyDiv w:val="1"/>
      <w:marLeft w:val="0"/>
      <w:marRight w:val="0"/>
      <w:marTop w:val="0"/>
      <w:marBottom w:val="0"/>
      <w:divBdr>
        <w:top w:val="none" w:sz="0" w:space="0" w:color="auto"/>
        <w:left w:val="none" w:sz="0" w:space="0" w:color="auto"/>
        <w:bottom w:val="none" w:sz="0" w:space="0" w:color="auto"/>
        <w:right w:val="none" w:sz="0" w:space="0" w:color="auto"/>
      </w:divBdr>
    </w:div>
    <w:div w:id="438838738">
      <w:bodyDiv w:val="1"/>
      <w:marLeft w:val="0"/>
      <w:marRight w:val="0"/>
      <w:marTop w:val="0"/>
      <w:marBottom w:val="0"/>
      <w:divBdr>
        <w:top w:val="none" w:sz="0" w:space="0" w:color="auto"/>
        <w:left w:val="none" w:sz="0" w:space="0" w:color="auto"/>
        <w:bottom w:val="none" w:sz="0" w:space="0" w:color="auto"/>
        <w:right w:val="none" w:sz="0" w:space="0" w:color="auto"/>
      </w:divBdr>
    </w:div>
    <w:div w:id="559022745">
      <w:bodyDiv w:val="1"/>
      <w:marLeft w:val="0"/>
      <w:marRight w:val="0"/>
      <w:marTop w:val="0"/>
      <w:marBottom w:val="0"/>
      <w:divBdr>
        <w:top w:val="none" w:sz="0" w:space="0" w:color="auto"/>
        <w:left w:val="none" w:sz="0" w:space="0" w:color="auto"/>
        <w:bottom w:val="none" w:sz="0" w:space="0" w:color="auto"/>
        <w:right w:val="none" w:sz="0" w:space="0" w:color="auto"/>
      </w:divBdr>
    </w:div>
    <w:div w:id="719131574">
      <w:bodyDiv w:val="1"/>
      <w:marLeft w:val="0"/>
      <w:marRight w:val="0"/>
      <w:marTop w:val="0"/>
      <w:marBottom w:val="0"/>
      <w:divBdr>
        <w:top w:val="none" w:sz="0" w:space="0" w:color="auto"/>
        <w:left w:val="none" w:sz="0" w:space="0" w:color="auto"/>
        <w:bottom w:val="none" w:sz="0" w:space="0" w:color="auto"/>
        <w:right w:val="none" w:sz="0" w:space="0" w:color="auto"/>
      </w:divBdr>
    </w:div>
    <w:div w:id="786584669">
      <w:bodyDiv w:val="1"/>
      <w:marLeft w:val="0"/>
      <w:marRight w:val="0"/>
      <w:marTop w:val="0"/>
      <w:marBottom w:val="0"/>
      <w:divBdr>
        <w:top w:val="none" w:sz="0" w:space="0" w:color="auto"/>
        <w:left w:val="none" w:sz="0" w:space="0" w:color="auto"/>
        <w:bottom w:val="none" w:sz="0" w:space="0" w:color="auto"/>
        <w:right w:val="none" w:sz="0" w:space="0" w:color="auto"/>
      </w:divBdr>
    </w:div>
    <w:div w:id="919758862">
      <w:bodyDiv w:val="1"/>
      <w:marLeft w:val="0"/>
      <w:marRight w:val="0"/>
      <w:marTop w:val="0"/>
      <w:marBottom w:val="0"/>
      <w:divBdr>
        <w:top w:val="none" w:sz="0" w:space="0" w:color="auto"/>
        <w:left w:val="none" w:sz="0" w:space="0" w:color="auto"/>
        <w:bottom w:val="none" w:sz="0" w:space="0" w:color="auto"/>
        <w:right w:val="none" w:sz="0" w:space="0" w:color="auto"/>
      </w:divBdr>
    </w:div>
    <w:div w:id="968323788">
      <w:bodyDiv w:val="1"/>
      <w:marLeft w:val="0"/>
      <w:marRight w:val="0"/>
      <w:marTop w:val="0"/>
      <w:marBottom w:val="0"/>
      <w:divBdr>
        <w:top w:val="none" w:sz="0" w:space="0" w:color="auto"/>
        <w:left w:val="none" w:sz="0" w:space="0" w:color="auto"/>
        <w:bottom w:val="none" w:sz="0" w:space="0" w:color="auto"/>
        <w:right w:val="none" w:sz="0" w:space="0" w:color="auto"/>
      </w:divBdr>
    </w:div>
    <w:div w:id="970785735">
      <w:bodyDiv w:val="1"/>
      <w:marLeft w:val="0"/>
      <w:marRight w:val="0"/>
      <w:marTop w:val="0"/>
      <w:marBottom w:val="0"/>
      <w:divBdr>
        <w:top w:val="none" w:sz="0" w:space="0" w:color="auto"/>
        <w:left w:val="none" w:sz="0" w:space="0" w:color="auto"/>
        <w:bottom w:val="none" w:sz="0" w:space="0" w:color="auto"/>
        <w:right w:val="none" w:sz="0" w:space="0" w:color="auto"/>
      </w:divBdr>
    </w:div>
    <w:div w:id="1108087427">
      <w:bodyDiv w:val="1"/>
      <w:marLeft w:val="0"/>
      <w:marRight w:val="0"/>
      <w:marTop w:val="0"/>
      <w:marBottom w:val="0"/>
      <w:divBdr>
        <w:top w:val="none" w:sz="0" w:space="0" w:color="auto"/>
        <w:left w:val="none" w:sz="0" w:space="0" w:color="auto"/>
        <w:bottom w:val="none" w:sz="0" w:space="0" w:color="auto"/>
        <w:right w:val="none" w:sz="0" w:space="0" w:color="auto"/>
      </w:divBdr>
      <w:divsChild>
        <w:div w:id="1648320871">
          <w:marLeft w:val="0"/>
          <w:marRight w:val="0"/>
          <w:marTop w:val="0"/>
          <w:marBottom w:val="0"/>
          <w:divBdr>
            <w:top w:val="none" w:sz="0" w:space="0" w:color="auto"/>
            <w:left w:val="none" w:sz="0" w:space="0" w:color="auto"/>
            <w:bottom w:val="none" w:sz="0" w:space="0" w:color="auto"/>
            <w:right w:val="none" w:sz="0" w:space="0" w:color="auto"/>
          </w:divBdr>
          <w:divsChild>
            <w:div w:id="886840464">
              <w:marLeft w:val="0"/>
              <w:marRight w:val="0"/>
              <w:marTop w:val="0"/>
              <w:marBottom w:val="0"/>
              <w:divBdr>
                <w:top w:val="none" w:sz="0" w:space="0" w:color="auto"/>
                <w:left w:val="none" w:sz="0" w:space="0" w:color="auto"/>
                <w:bottom w:val="none" w:sz="0" w:space="0" w:color="auto"/>
                <w:right w:val="none" w:sz="0" w:space="0" w:color="auto"/>
              </w:divBdr>
              <w:divsChild>
                <w:div w:id="68016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704482">
      <w:bodyDiv w:val="1"/>
      <w:marLeft w:val="0"/>
      <w:marRight w:val="0"/>
      <w:marTop w:val="0"/>
      <w:marBottom w:val="0"/>
      <w:divBdr>
        <w:top w:val="none" w:sz="0" w:space="0" w:color="auto"/>
        <w:left w:val="none" w:sz="0" w:space="0" w:color="auto"/>
        <w:bottom w:val="none" w:sz="0" w:space="0" w:color="auto"/>
        <w:right w:val="none" w:sz="0" w:space="0" w:color="auto"/>
      </w:divBdr>
      <w:divsChild>
        <w:div w:id="1151481081">
          <w:marLeft w:val="0"/>
          <w:marRight w:val="0"/>
          <w:marTop w:val="0"/>
          <w:marBottom w:val="0"/>
          <w:divBdr>
            <w:top w:val="none" w:sz="0" w:space="0" w:color="auto"/>
            <w:left w:val="none" w:sz="0" w:space="0" w:color="auto"/>
            <w:bottom w:val="none" w:sz="0" w:space="0" w:color="auto"/>
            <w:right w:val="none" w:sz="0" w:space="0" w:color="auto"/>
          </w:divBdr>
          <w:divsChild>
            <w:div w:id="1531798777">
              <w:marLeft w:val="0"/>
              <w:marRight w:val="0"/>
              <w:marTop w:val="0"/>
              <w:marBottom w:val="0"/>
              <w:divBdr>
                <w:top w:val="none" w:sz="0" w:space="0" w:color="auto"/>
                <w:left w:val="none" w:sz="0" w:space="0" w:color="auto"/>
                <w:bottom w:val="none" w:sz="0" w:space="0" w:color="auto"/>
                <w:right w:val="none" w:sz="0" w:space="0" w:color="auto"/>
              </w:divBdr>
              <w:divsChild>
                <w:div w:id="140013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7449">
      <w:bodyDiv w:val="1"/>
      <w:marLeft w:val="0"/>
      <w:marRight w:val="0"/>
      <w:marTop w:val="0"/>
      <w:marBottom w:val="0"/>
      <w:divBdr>
        <w:top w:val="none" w:sz="0" w:space="0" w:color="auto"/>
        <w:left w:val="none" w:sz="0" w:space="0" w:color="auto"/>
        <w:bottom w:val="none" w:sz="0" w:space="0" w:color="auto"/>
        <w:right w:val="none" w:sz="0" w:space="0" w:color="auto"/>
      </w:divBdr>
      <w:divsChild>
        <w:div w:id="511843484">
          <w:marLeft w:val="0"/>
          <w:marRight w:val="0"/>
          <w:marTop w:val="0"/>
          <w:marBottom w:val="0"/>
          <w:divBdr>
            <w:top w:val="none" w:sz="0" w:space="0" w:color="auto"/>
            <w:left w:val="none" w:sz="0" w:space="0" w:color="auto"/>
            <w:bottom w:val="none" w:sz="0" w:space="0" w:color="auto"/>
            <w:right w:val="none" w:sz="0" w:space="0" w:color="auto"/>
          </w:divBdr>
        </w:div>
        <w:div w:id="577596842">
          <w:marLeft w:val="0"/>
          <w:marRight w:val="0"/>
          <w:marTop w:val="0"/>
          <w:marBottom w:val="0"/>
          <w:divBdr>
            <w:top w:val="none" w:sz="0" w:space="0" w:color="auto"/>
            <w:left w:val="none" w:sz="0" w:space="0" w:color="auto"/>
            <w:bottom w:val="none" w:sz="0" w:space="0" w:color="auto"/>
            <w:right w:val="none" w:sz="0" w:space="0" w:color="auto"/>
          </w:divBdr>
        </w:div>
      </w:divsChild>
    </w:div>
    <w:div w:id="1331255179">
      <w:bodyDiv w:val="1"/>
      <w:marLeft w:val="0"/>
      <w:marRight w:val="0"/>
      <w:marTop w:val="0"/>
      <w:marBottom w:val="0"/>
      <w:divBdr>
        <w:top w:val="none" w:sz="0" w:space="0" w:color="auto"/>
        <w:left w:val="none" w:sz="0" w:space="0" w:color="auto"/>
        <w:bottom w:val="none" w:sz="0" w:space="0" w:color="auto"/>
        <w:right w:val="none" w:sz="0" w:space="0" w:color="auto"/>
      </w:divBdr>
    </w:div>
    <w:div w:id="1628127084">
      <w:bodyDiv w:val="1"/>
      <w:marLeft w:val="0"/>
      <w:marRight w:val="0"/>
      <w:marTop w:val="0"/>
      <w:marBottom w:val="0"/>
      <w:divBdr>
        <w:top w:val="none" w:sz="0" w:space="0" w:color="auto"/>
        <w:left w:val="none" w:sz="0" w:space="0" w:color="auto"/>
        <w:bottom w:val="none" w:sz="0" w:space="0" w:color="auto"/>
        <w:right w:val="none" w:sz="0" w:space="0" w:color="auto"/>
      </w:divBdr>
      <w:divsChild>
        <w:div w:id="422339447">
          <w:marLeft w:val="0"/>
          <w:marRight w:val="0"/>
          <w:marTop w:val="0"/>
          <w:marBottom w:val="0"/>
          <w:divBdr>
            <w:top w:val="none" w:sz="0" w:space="0" w:color="auto"/>
            <w:left w:val="none" w:sz="0" w:space="0" w:color="auto"/>
            <w:bottom w:val="none" w:sz="0" w:space="0" w:color="auto"/>
            <w:right w:val="none" w:sz="0" w:space="0" w:color="auto"/>
          </w:divBdr>
          <w:divsChild>
            <w:div w:id="121118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659734">
      <w:bodyDiv w:val="1"/>
      <w:marLeft w:val="0"/>
      <w:marRight w:val="0"/>
      <w:marTop w:val="0"/>
      <w:marBottom w:val="0"/>
      <w:divBdr>
        <w:top w:val="none" w:sz="0" w:space="0" w:color="auto"/>
        <w:left w:val="none" w:sz="0" w:space="0" w:color="auto"/>
        <w:bottom w:val="none" w:sz="0" w:space="0" w:color="auto"/>
        <w:right w:val="none" w:sz="0" w:space="0" w:color="auto"/>
      </w:divBdr>
      <w:divsChild>
        <w:div w:id="1887522394">
          <w:marLeft w:val="0"/>
          <w:marRight w:val="0"/>
          <w:marTop w:val="0"/>
          <w:marBottom w:val="0"/>
          <w:divBdr>
            <w:top w:val="none" w:sz="0" w:space="0" w:color="auto"/>
            <w:left w:val="none" w:sz="0" w:space="0" w:color="auto"/>
            <w:bottom w:val="none" w:sz="0" w:space="0" w:color="auto"/>
            <w:right w:val="none" w:sz="0" w:space="0" w:color="auto"/>
          </w:divBdr>
          <w:divsChild>
            <w:div w:id="131205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461908">
      <w:bodyDiv w:val="1"/>
      <w:marLeft w:val="0"/>
      <w:marRight w:val="0"/>
      <w:marTop w:val="0"/>
      <w:marBottom w:val="0"/>
      <w:divBdr>
        <w:top w:val="none" w:sz="0" w:space="0" w:color="auto"/>
        <w:left w:val="none" w:sz="0" w:space="0" w:color="auto"/>
        <w:bottom w:val="none" w:sz="0" w:space="0" w:color="auto"/>
        <w:right w:val="none" w:sz="0" w:space="0" w:color="auto"/>
      </w:divBdr>
    </w:div>
    <w:div w:id="1763455532">
      <w:bodyDiv w:val="1"/>
      <w:marLeft w:val="0"/>
      <w:marRight w:val="0"/>
      <w:marTop w:val="0"/>
      <w:marBottom w:val="0"/>
      <w:divBdr>
        <w:top w:val="none" w:sz="0" w:space="0" w:color="auto"/>
        <w:left w:val="none" w:sz="0" w:space="0" w:color="auto"/>
        <w:bottom w:val="none" w:sz="0" w:space="0" w:color="auto"/>
        <w:right w:val="none" w:sz="0" w:space="0" w:color="auto"/>
      </w:divBdr>
    </w:div>
    <w:div w:id="1771389386">
      <w:bodyDiv w:val="1"/>
      <w:marLeft w:val="0"/>
      <w:marRight w:val="0"/>
      <w:marTop w:val="0"/>
      <w:marBottom w:val="0"/>
      <w:divBdr>
        <w:top w:val="none" w:sz="0" w:space="0" w:color="auto"/>
        <w:left w:val="none" w:sz="0" w:space="0" w:color="auto"/>
        <w:bottom w:val="none" w:sz="0" w:space="0" w:color="auto"/>
        <w:right w:val="none" w:sz="0" w:space="0" w:color="auto"/>
      </w:divBdr>
    </w:div>
    <w:div w:id="1873692198">
      <w:bodyDiv w:val="1"/>
      <w:marLeft w:val="0"/>
      <w:marRight w:val="0"/>
      <w:marTop w:val="0"/>
      <w:marBottom w:val="0"/>
      <w:divBdr>
        <w:top w:val="none" w:sz="0" w:space="0" w:color="auto"/>
        <w:left w:val="none" w:sz="0" w:space="0" w:color="auto"/>
        <w:bottom w:val="none" w:sz="0" w:space="0" w:color="auto"/>
        <w:right w:val="none" w:sz="0" w:space="0" w:color="auto"/>
      </w:divBdr>
    </w:div>
    <w:div w:id="1949434311">
      <w:bodyDiv w:val="1"/>
      <w:marLeft w:val="0"/>
      <w:marRight w:val="0"/>
      <w:marTop w:val="0"/>
      <w:marBottom w:val="0"/>
      <w:divBdr>
        <w:top w:val="none" w:sz="0" w:space="0" w:color="auto"/>
        <w:left w:val="none" w:sz="0" w:space="0" w:color="auto"/>
        <w:bottom w:val="none" w:sz="0" w:space="0" w:color="auto"/>
        <w:right w:val="none" w:sz="0" w:space="0" w:color="auto"/>
      </w:divBdr>
    </w:div>
    <w:div w:id="1986467855">
      <w:bodyDiv w:val="1"/>
      <w:marLeft w:val="0"/>
      <w:marRight w:val="0"/>
      <w:marTop w:val="0"/>
      <w:marBottom w:val="0"/>
      <w:divBdr>
        <w:top w:val="none" w:sz="0" w:space="0" w:color="auto"/>
        <w:left w:val="none" w:sz="0" w:space="0" w:color="auto"/>
        <w:bottom w:val="none" w:sz="0" w:space="0" w:color="auto"/>
        <w:right w:val="none" w:sz="0" w:space="0" w:color="auto"/>
      </w:divBdr>
    </w:div>
    <w:div w:id="2033916208">
      <w:bodyDiv w:val="1"/>
      <w:marLeft w:val="0"/>
      <w:marRight w:val="0"/>
      <w:marTop w:val="0"/>
      <w:marBottom w:val="0"/>
      <w:divBdr>
        <w:top w:val="none" w:sz="0" w:space="0" w:color="auto"/>
        <w:left w:val="none" w:sz="0" w:space="0" w:color="auto"/>
        <w:bottom w:val="none" w:sz="0" w:space="0" w:color="auto"/>
        <w:right w:val="none" w:sz="0" w:space="0" w:color="auto"/>
      </w:divBdr>
    </w:div>
    <w:div w:id="2069108021">
      <w:bodyDiv w:val="1"/>
      <w:marLeft w:val="0"/>
      <w:marRight w:val="0"/>
      <w:marTop w:val="0"/>
      <w:marBottom w:val="0"/>
      <w:divBdr>
        <w:top w:val="none" w:sz="0" w:space="0" w:color="auto"/>
        <w:left w:val="none" w:sz="0" w:space="0" w:color="auto"/>
        <w:bottom w:val="none" w:sz="0" w:space="0" w:color="auto"/>
        <w:right w:val="none" w:sz="0" w:space="0" w:color="auto"/>
      </w:divBdr>
    </w:div>
    <w:div w:id="2076926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loudsecurityalliance.org/blog/2023/08/15/data-driven-ai-understanding-the-risks-and-mitigation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mckinsey.com/capabilities/operations/our-insights/managing-the-risks-and-returns-of-intelligent-autom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ckinsey.com/capabilities/quantumblack/our-insights/getting-to-know-and-manage-your-biggest-ai-risks"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s://www.bis.org/publ/work1194.pdf" TargetMode="External"/><Relationship Id="rId2" Type="http://schemas.openxmlformats.org/officeDocument/2006/relationships/hyperlink" Target="https://edinburgh-innovations.ed.ac.uk/news/abrdn-and-edinburgh-join-forces-to-develop-an-ai-investment-tool" TargetMode="External"/><Relationship Id="rId1" Type="http://schemas.openxmlformats.org/officeDocument/2006/relationships/hyperlink" Target="https://www.imf.org/external/datamapper/AI_PI@AIPI/ADVEC/EME/LIC"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theia.org/sites/default/files/2024-10/Technology%20Working%20Group%20AI%20Report%20Oct%202024.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https://investmentassociation.sharepoint.com/sites/OfficeTemplates/Office%20Templates/Word%20Templates/1,%201%20Blank%20page%20with%20Logo.dotx" TargetMode="External"/></Relationships>
</file>

<file path=word/theme/theme1.xml><?xml version="1.0" encoding="utf-8"?>
<a:theme xmlns:a="http://schemas.openxmlformats.org/drawingml/2006/main" name="Office Theme">
  <a:themeElements>
    <a:clrScheme name="IA">
      <a:dk1>
        <a:srgbClr val="000000"/>
      </a:dk1>
      <a:lt1>
        <a:sysClr val="window" lastClr="FFFFFF"/>
      </a:lt1>
      <a:dk2>
        <a:srgbClr val="8B8178"/>
      </a:dk2>
      <a:lt2>
        <a:srgbClr val="D5D2CA"/>
      </a:lt2>
      <a:accent1>
        <a:srgbClr val="172242"/>
      </a:accent1>
      <a:accent2>
        <a:srgbClr val="27B88C"/>
      </a:accent2>
      <a:accent3>
        <a:srgbClr val="F36A5B"/>
      </a:accent3>
      <a:accent4>
        <a:srgbClr val="FDC300"/>
      </a:accent4>
      <a:accent5>
        <a:srgbClr val="5EB6E4"/>
      </a:accent5>
      <a:accent6>
        <a:srgbClr val="0073CF"/>
      </a:accent6>
      <a:hlink>
        <a:srgbClr val="F36A5B"/>
      </a:hlink>
      <a:folHlink>
        <a:srgbClr val="F36A5B"/>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8B18E0224E67D4998A339C0008297E8" ma:contentTypeVersion="16" ma:contentTypeDescription="Create a new document." ma:contentTypeScope="" ma:versionID="13b752248668274d7565a40bc389df3f">
  <xsd:schema xmlns:xsd="http://www.w3.org/2001/XMLSchema" xmlns:xs="http://www.w3.org/2001/XMLSchema" xmlns:p="http://schemas.microsoft.com/office/2006/metadata/properties" xmlns:ns2="9acd5d89-4c15-4de4-a020-2927cc75d153" xmlns:ns3="1ff8736b-dc9c-4a25-bdd2-0a39276d4f89" targetNamespace="http://schemas.microsoft.com/office/2006/metadata/properties" ma:root="true" ma:fieldsID="a29e69f1782bf0f4a5d68df08a34f8cb" ns2:_="" ns3:_="">
    <xsd:import namespace="9acd5d89-4c15-4de4-a020-2927cc75d153"/>
    <xsd:import namespace="1ff8736b-dc9c-4a25-bdd2-0a39276d4f8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3:SharedWithUsers" minOccurs="0"/>
                <xsd:element ref="ns3:SharedWithDetail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cd5d89-4c15-4de4-a020-2927cc75d1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341f135-892c-4ab9-a4a2-5cdb862e2ab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ff8736b-dc9c-4a25-bdd2-0a39276d4f8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17f29d3-8438-4f9a-b630-a213fdf5d172}" ma:internalName="TaxCatchAll" ma:showField="CatchAllData" ma:web="1ff8736b-dc9c-4a25-bdd2-0a39276d4f8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acd5d89-4c15-4de4-a020-2927cc75d153">
      <Terms xmlns="http://schemas.microsoft.com/office/infopath/2007/PartnerControls"/>
    </lcf76f155ced4ddcb4097134ff3c332f>
    <TaxCatchAll xmlns="1ff8736b-dc9c-4a25-bdd2-0a39276d4f8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EA5D02-1C4F-4F9F-82AC-84DF75ED449C}">
  <ds:schemaRefs>
    <ds:schemaRef ds:uri="http://schemas.microsoft.com/sharepoint/v3/contenttype/forms"/>
  </ds:schemaRefs>
</ds:datastoreItem>
</file>

<file path=customXml/itemProps2.xml><?xml version="1.0" encoding="utf-8"?>
<ds:datastoreItem xmlns:ds="http://schemas.openxmlformats.org/officeDocument/2006/customXml" ds:itemID="{BA05ECE7-1B4D-4085-9DAF-332DED7EA5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cd5d89-4c15-4de4-a020-2927cc75d153"/>
    <ds:schemaRef ds:uri="1ff8736b-dc9c-4a25-bdd2-0a39276d4f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AB428C-B11C-4502-97A8-B95214DF657A}">
  <ds:schemaRefs>
    <ds:schemaRef ds:uri="http://schemas.microsoft.com/office/2006/metadata/properties"/>
    <ds:schemaRef ds:uri="http://schemas.microsoft.com/office/infopath/2007/PartnerControls"/>
    <ds:schemaRef ds:uri="9acd5d89-4c15-4de4-a020-2927cc75d153"/>
    <ds:schemaRef ds:uri="1ff8736b-dc9c-4a25-bdd2-0a39276d4f89"/>
  </ds:schemaRefs>
</ds:datastoreItem>
</file>

<file path=customXml/itemProps4.xml><?xml version="1.0" encoding="utf-8"?>
<ds:datastoreItem xmlns:ds="http://schemas.openxmlformats.org/officeDocument/2006/customXml" ds:itemID="{03560F47-4E54-4FA0-8A40-127B93013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1,%201%20Blank%20page%20with%20Logo</Template>
  <TotalTime>0</TotalTime>
  <Pages>8</Pages>
  <Words>3800</Words>
  <Characters>21660</Characters>
  <Application>Microsoft Office Word</Application>
  <DocSecurity>0</DocSecurity>
  <Lines>180</Lines>
  <Paragraphs>50</Paragraphs>
  <ScaleCrop>false</ScaleCrop>
  <Company>The Investment Association</Company>
  <LinksUpToDate>false</LinksUpToDate>
  <CharactersWithSpaces>25410</CharactersWithSpaces>
  <SharedDoc>false</SharedDoc>
  <HLinks>
    <vt:vector size="42" baseType="variant">
      <vt:variant>
        <vt:i4>4915279</vt:i4>
      </vt:variant>
      <vt:variant>
        <vt:i4>6</vt:i4>
      </vt:variant>
      <vt:variant>
        <vt:i4>0</vt:i4>
      </vt:variant>
      <vt:variant>
        <vt:i4>5</vt:i4>
      </vt:variant>
      <vt:variant>
        <vt:lpwstr>https://cloudsecurityalliance.org/blog/2023/08/15/data-driven-ai-understanding-the-risks-and-mitigations</vt:lpwstr>
      </vt:variant>
      <vt:variant>
        <vt:lpwstr/>
      </vt:variant>
      <vt:variant>
        <vt:i4>2490479</vt:i4>
      </vt:variant>
      <vt:variant>
        <vt:i4>3</vt:i4>
      </vt:variant>
      <vt:variant>
        <vt:i4>0</vt:i4>
      </vt:variant>
      <vt:variant>
        <vt:i4>5</vt:i4>
      </vt:variant>
      <vt:variant>
        <vt:lpwstr>https://www.mckinsey.com/capabilities/operations/our-insights/managing-the-risks-and-returns-of-intelligent-automation</vt:lpwstr>
      </vt:variant>
      <vt:variant>
        <vt:lpwstr/>
      </vt:variant>
      <vt:variant>
        <vt:i4>2</vt:i4>
      </vt:variant>
      <vt:variant>
        <vt:i4>0</vt:i4>
      </vt:variant>
      <vt:variant>
        <vt:i4>0</vt:i4>
      </vt:variant>
      <vt:variant>
        <vt:i4>5</vt:i4>
      </vt:variant>
      <vt:variant>
        <vt:lpwstr>https://www.mckinsey.com/capabilities/quantumblack/our-insights/getting-to-know-and-manage-your-biggest-ai-risks</vt:lpwstr>
      </vt:variant>
      <vt:variant>
        <vt:lpwstr/>
      </vt:variant>
      <vt:variant>
        <vt:i4>917530</vt:i4>
      </vt:variant>
      <vt:variant>
        <vt:i4>0</vt:i4>
      </vt:variant>
      <vt:variant>
        <vt:i4>0</vt:i4>
      </vt:variant>
      <vt:variant>
        <vt:i4>5</vt:i4>
      </vt:variant>
      <vt:variant>
        <vt:lpwstr>https://www.theia.org/sites/default/files/2024-10/Technology Working Group AI Report Oct 2024.pdf</vt:lpwstr>
      </vt:variant>
      <vt:variant>
        <vt:lpwstr/>
      </vt:variant>
      <vt:variant>
        <vt:i4>786453</vt:i4>
      </vt:variant>
      <vt:variant>
        <vt:i4>6</vt:i4>
      </vt:variant>
      <vt:variant>
        <vt:i4>0</vt:i4>
      </vt:variant>
      <vt:variant>
        <vt:i4>5</vt:i4>
      </vt:variant>
      <vt:variant>
        <vt:lpwstr>https://www.bis.org/publ/work1194.pdf</vt:lpwstr>
      </vt:variant>
      <vt:variant>
        <vt:lpwstr/>
      </vt:variant>
      <vt:variant>
        <vt:i4>1966168</vt:i4>
      </vt:variant>
      <vt:variant>
        <vt:i4>3</vt:i4>
      </vt:variant>
      <vt:variant>
        <vt:i4>0</vt:i4>
      </vt:variant>
      <vt:variant>
        <vt:i4>5</vt:i4>
      </vt:variant>
      <vt:variant>
        <vt:lpwstr>https://edinburgh-innovations.ed.ac.uk/news/abrdn-and-edinburgh-join-forces-to-develop-an-ai-investment-tool</vt:lpwstr>
      </vt:variant>
      <vt:variant>
        <vt:lpwstr/>
      </vt:variant>
      <vt:variant>
        <vt:i4>2883685</vt:i4>
      </vt:variant>
      <vt:variant>
        <vt:i4>0</vt:i4>
      </vt:variant>
      <vt:variant>
        <vt:i4>0</vt:i4>
      </vt:variant>
      <vt:variant>
        <vt:i4>5</vt:i4>
      </vt:variant>
      <vt:variant>
        <vt:lpwstr>https://www.imf.org/external/datamapper/AI_PI@AIPI/ADVEC/EME/LIC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IA response to BoE</dc:title>
  <dc:subject>Innovation in Payments</dc:subject>
  <dc:creator>John Allan</dc:creator>
  <cp:keywords/>
  <dc:description/>
  <cp:lastModifiedBy>James King</cp:lastModifiedBy>
  <cp:revision>144</cp:revision>
  <cp:lastPrinted>2024-10-31T07:30:00Z</cp:lastPrinted>
  <dcterms:created xsi:type="dcterms:W3CDTF">2024-10-31T07:25:00Z</dcterms:created>
  <dcterms:modified xsi:type="dcterms:W3CDTF">2025-04-11T10:37:00Z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0x01010038B18E0224E67D4998A339C0008297E8</vt:lpwstr>
  </property>
  <property fmtid="{D5CDD505-2E9C-101B-9397-08002B2CF9AE}" pid="3" name="MediaServiceImageTags">
    <vt:lpwstr/>
  </property>
</Properties>
</file>